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9D04" w14:textId="77777777" w:rsidR="00B44291" w:rsidRDefault="00B44291" w:rsidP="00B158CD">
      <w:pPr>
        <w:spacing w:after="200" w:line="276" w:lineRule="auto"/>
        <w:jc w:val="both"/>
        <w:rPr>
          <w:rFonts w:ascii="Arial" w:hAnsi="Arial" w:cs="Arial"/>
          <w:b/>
          <w:sz w:val="100"/>
          <w:szCs w:val="100"/>
        </w:rPr>
      </w:pPr>
      <w:bookmarkStart w:id="0" w:name="_Toc359336481"/>
    </w:p>
    <w:p w14:paraId="3BB18C54" w14:textId="77777777" w:rsidR="00B44291" w:rsidRDefault="00170F2E" w:rsidP="009F45FC">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4AF2059E" wp14:editId="41CE4881">
            <wp:extent cx="2804400" cy="162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400" cy="1623600"/>
                    </a:xfrm>
                    <a:prstGeom prst="rect">
                      <a:avLst/>
                    </a:prstGeom>
                  </pic:spPr>
                </pic:pic>
              </a:graphicData>
            </a:graphic>
          </wp:inline>
        </w:drawing>
      </w:r>
    </w:p>
    <w:p w14:paraId="25613F3F" w14:textId="77777777"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1EC4075D" w14:textId="77777777" w:rsidR="00D92D5D" w:rsidRDefault="00D92D5D" w:rsidP="00B158CD">
      <w:pPr>
        <w:spacing w:after="200"/>
        <w:jc w:val="center"/>
        <w:rPr>
          <w:rFonts w:ascii="Arial" w:hAnsi="Arial" w:cs="Arial"/>
          <w:b/>
          <w:sz w:val="28"/>
          <w:szCs w:val="28"/>
        </w:rPr>
      </w:pPr>
    </w:p>
    <w:p w14:paraId="615B4C75" w14:textId="77777777" w:rsidR="00D92D5D" w:rsidRDefault="00D92D5D" w:rsidP="00B158CD">
      <w:pPr>
        <w:spacing w:after="200"/>
        <w:jc w:val="center"/>
        <w:rPr>
          <w:rFonts w:ascii="Arial" w:hAnsi="Arial" w:cs="Arial"/>
          <w:b/>
          <w:sz w:val="28"/>
          <w:szCs w:val="28"/>
        </w:rPr>
      </w:pPr>
    </w:p>
    <w:p w14:paraId="0690FDE6" w14:textId="77777777" w:rsidR="00D92D5D" w:rsidRDefault="00D92D5D" w:rsidP="00B158CD">
      <w:pPr>
        <w:spacing w:after="200"/>
        <w:jc w:val="center"/>
        <w:rPr>
          <w:rFonts w:ascii="Arial" w:hAnsi="Arial" w:cs="Arial"/>
          <w:b/>
          <w:sz w:val="28"/>
          <w:szCs w:val="28"/>
        </w:rPr>
      </w:pPr>
    </w:p>
    <w:p w14:paraId="0369086C" w14:textId="77777777" w:rsidR="001F4B33" w:rsidRPr="0029078F" w:rsidRDefault="001F4B33" w:rsidP="00B158CD">
      <w:pPr>
        <w:spacing w:after="200"/>
        <w:jc w:val="center"/>
        <w:rPr>
          <w:rFonts w:ascii="Arial" w:hAnsi="Arial" w:cs="Arial"/>
          <w:b/>
          <w:sz w:val="28"/>
          <w:szCs w:val="28"/>
        </w:rPr>
      </w:pPr>
    </w:p>
    <w:p w14:paraId="6F74BC9F" w14:textId="77777777" w:rsidR="00D92D5D" w:rsidRPr="0029078F" w:rsidRDefault="00D92D5D" w:rsidP="00B158CD">
      <w:pPr>
        <w:spacing w:after="200"/>
        <w:jc w:val="center"/>
        <w:rPr>
          <w:rFonts w:ascii="Arial" w:hAnsi="Arial" w:cs="Arial"/>
          <w:b/>
          <w:sz w:val="28"/>
          <w:szCs w:val="28"/>
        </w:rPr>
      </w:pPr>
    </w:p>
    <w:p w14:paraId="6C75121A" w14:textId="77777777" w:rsidR="00583A57" w:rsidRDefault="00583A57" w:rsidP="00583A57">
      <w:pPr>
        <w:spacing w:after="200"/>
        <w:ind w:left="-567" w:right="-766"/>
        <w:jc w:val="center"/>
        <w:rPr>
          <w:rFonts w:ascii="Arial" w:hAnsi="Arial" w:cs="Arial"/>
          <w:b/>
          <w:sz w:val="72"/>
          <w:szCs w:val="72"/>
        </w:rPr>
      </w:pPr>
      <w:r>
        <w:rPr>
          <w:rFonts w:ascii="Arial" w:hAnsi="Arial" w:cs="Arial"/>
          <w:b/>
          <w:sz w:val="72"/>
          <w:szCs w:val="72"/>
        </w:rPr>
        <w:t>PLANNING APPLICATIONS</w:t>
      </w:r>
      <w:r w:rsidR="0029078F" w:rsidRPr="0029078F">
        <w:rPr>
          <w:rFonts w:ascii="Arial" w:hAnsi="Arial" w:cs="Arial"/>
          <w:b/>
          <w:sz w:val="72"/>
          <w:szCs w:val="72"/>
        </w:rPr>
        <w:t xml:space="preserve"> </w:t>
      </w:r>
    </w:p>
    <w:p w14:paraId="6244507A" w14:textId="77777777" w:rsidR="00B158CD" w:rsidRPr="0029078F" w:rsidRDefault="0029078F" w:rsidP="00076D9E">
      <w:pPr>
        <w:spacing w:after="200"/>
        <w:jc w:val="center"/>
        <w:rPr>
          <w:rFonts w:ascii="Arial" w:hAnsi="Arial" w:cs="Arial"/>
          <w:b/>
          <w:sz w:val="72"/>
          <w:szCs w:val="72"/>
        </w:rPr>
      </w:pPr>
      <w:r w:rsidRPr="0029078F">
        <w:rPr>
          <w:rFonts w:ascii="Arial" w:hAnsi="Arial" w:cs="Arial"/>
          <w:b/>
          <w:sz w:val="72"/>
          <w:szCs w:val="72"/>
        </w:rPr>
        <w:t>POLICY</w:t>
      </w:r>
    </w:p>
    <w:p w14:paraId="71D03AD9" w14:textId="77777777" w:rsidR="00111F17" w:rsidRDefault="00111F17" w:rsidP="001C27BA">
      <w:pPr>
        <w:rPr>
          <w:rFonts w:ascii="Arial" w:hAnsi="Arial" w:cs="Arial"/>
        </w:rPr>
      </w:pPr>
    </w:p>
    <w:p w14:paraId="5C6E9190" w14:textId="77777777" w:rsidR="00111F17" w:rsidRDefault="00111F17" w:rsidP="001C27BA">
      <w:pPr>
        <w:rPr>
          <w:rFonts w:ascii="Arial" w:hAnsi="Arial" w:cs="Arial"/>
        </w:rPr>
      </w:pPr>
    </w:p>
    <w:p w14:paraId="18D32F89" w14:textId="77777777" w:rsidR="00111F17" w:rsidRDefault="00111F17" w:rsidP="001C27BA">
      <w:pPr>
        <w:rPr>
          <w:rFonts w:ascii="Arial" w:hAnsi="Arial" w:cs="Arial"/>
        </w:rPr>
      </w:pPr>
    </w:p>
    <w:p w14:paraId="78D355A9" w14:textId="77777777" w:rsidR="00111F17" w:rsidRDefault="00111F17" w:rsidP="001C27BA">
      <w:pPr>
        <w:rPr>
          <w:rFonts w:ascii="Arial" w:hAnsi="Arial" w:cs="Arial"/>
        </w:rPr>
      </w:pPr>
    </w:p>
    <w:p w14:paraId="5E8A2BC1" w14:textId="77777777" w:rsidR="00111F17" w:rsidRDefault="00111F17" w:rsidP="001C27BA">
      <w:pPr>
        <w:rPr>
          <w:rFonts w:ascii="Arial" w:hAnsi="Arial" w:cs="Arial"/>
        </w:rPr>
      </w:pPr>
    </w:p>
    <w:p w14:paraId="75BD7296" w14:textId="77777777" w:rsidR="00111F17" w:rsidRDefault="00111F17" w:rsidP="001C27BA">
      <w:pPr>
        <w:rPr>
          <w:rFonts w:ascii="Arial" w:hAnsi="Arial" w:cs="Arial"/>
        </w:rPr>
      </w:pPr>
    </w:p>
    <w:p w14:paraId="7FE1DEC6" w14:textId="77777777" w:rsidR="00776DDB" w:rsidRDefault="00776DDB" w:rsidP="001C27BA">
      <w:pPr>
        <w:rPr>
          <w:rFonts w:ascii="Arial" w:hAnsi="Arial" w:cs="Arial"/>
        </w:rPr>
      </w:pPr>
    </w:p>
    <w:p w14:paraId="172C3C8E" w14:textId="77777777" w:rsidR="00776DDB" w:rsidRDefault="00776DDB" w:rsidP="001C27BA">
      <w:pPr>
        <w:rPr>
          <w:rFonts w:ascii="Arial" w:hAnsi="Arial" w:cs="Arial"/>
        </w:rPr>
      </w:pPr>
    </w:p>
    <w:p w14:paraId="171BD959" w14:textId="77777777" w:rsidR="00776DDB" w:rsidRDefault="00776DDB" w:rsidP="001C27BA">
      <w:pPr>
        <w:rPr>
          <w:rFonts w:ascii="Arial" w:hAnsi="Arial" w:cs="Arial"/>
        </w:rPr>
      </w:pPr>
    </w:p>
    <w:p w14:paraId="226DE2EE" w14:textId="77777777" w:rsidR="00776DDB" w:rsidRDefault="00776DDB" w:rsidP="001C27BA">
      <w:pPr>
        <w:rPr>
          <w:rFonts w:ascii="Arial" w:hAnsi="Arial" w:cs="Arial"/>
        </w:rPr>
      </w:pPr>
    </w:p>
    <w:p w14:paraId="6CA795C1" w14:textId="77777777" w:rsidR="00111F17" w:rsidRDefault="00111F17" w:rsidP="001C27BA">
      <w:pPr>
        <w:rPr>
          <w:rFonts w:ascii="Arial" w:hAnsi="Arial" w:cs="Arial"/>
          <w:b/>
          <w:bCs/>
          <w:caps/>
          <w:sz w:val="16"/>
          <w:szCs w:val="16"/>
          <w:lang w:eastAsia="en-GB"/>
        </w:rPr>
      </w:pPr>
    </w:p>
    <w:p w14:paraId="74291063" w14:textId="77777777" w:rsidR="00111F17" w:rsidRDefault="00111F17" w:rsidP="001C27BA">
      <w:pPr>
        <w:rPr>
          <w:rFonts w:ascii="Arial" w:hAnsi="Arial" w:cs="Arial"/>
          <w:b/>
          <w:bCs/>
          <w:caps/>
          <w:sz w:val="16"/>
          <w:szCs w:val="16"/>
          <w:lang w:eastAsia="en-GB"/>
        </w:rPr>
      </w:pPr>
    </w:p>
    <w:p w14:paraId="666688CB" w14:textId="77777777" w:rsidR="00111F17" w:rsidRDefault="00111F17" w:rsidP="001C27BA">
      <w:pPr>
        <w:rPr>
          <w:rFonts w:ascii="Arial" w:hAnsi="Arial" w:cs="Arial"/>
          <w:b/>
          <w:bCs/>
          <w:caps/>
          <w:sz w:val="16"/>
          <w:szCs w:val="16"/>
          <w:lang w:eastAsia="en-GB"/>
        </w:rPr>
      </w:pPr>
    </w:p>
    <w:p w14:paraId="069AC411" w14:textId="77777777" w:rsidR="00111F17" w:rsidRDefault="00111F17" w:rsidP="001C27BA">
      <w:pPr>
        <w:rPr>
          <w:rFonts w:ascii="Arial" w:hAnsi="Arial" w:cs="Arial"/>
          <w:b/>
          <w:bCs/>
          <w:caps/>
          <w:sz w:val="16"/>
          <w:szCs w:val="16"/>
          <w:lang w:eastAsia="en-GB"/>
        </w:rPr>
      </w:pPr>
    </w:p>
    <w:p w14:paraId="7A607E5D" w14:textId="77777777" w:rsidR="00111F17" w:rsidRDefault="00111F17" w:rsidP="001C27BA">
      <w:pPr>
        <w:rPr>
          <w:rFonts w:ascii="Arial" w:hAnsi="Arial" w:cs="Arial"/>
          <w:b/>
          <w:bCs/>
          <w:caps/>
          <w:sz w:val="16"/>
          <w:szCs w:val="16"/>
          <w:lang w:eastAsia="en-GB"/>
        </w:rPr>
      </w:pPr>
    </w:p>
    <w:p w14:paraId="62DCACD8" w14:textId="77777777" w:rsidR="00111F17" w:rsidRDefault="00111F17" w:rsidP="001C27BA">
      <w:pPr>
        <w:rPr>
          <w:rFonts w:ascii="Arial" w:hAnsi="Arial" w:cs="Arial"/>
          <w:b/>
          <w:bCs/>
          <w:caps/>
          <w:sz w:val="16"/>
          <w:szCs w:val="16"/>
          <w:lang w:eastAsia="en-GB"/>
        </w:rPr>
      </w:pPr>
    </w:p>
    <w:p w14:paraId="46DFCC6F" w14:textId="77777777" w:rsidR="00850507" w:rsidRDefault="00850507">
      <w:pPr>
        <w:rPr>
          <w:rFonts w:ascii="Arial" w:hAnsi="Arial" w:cs="Arial"/>
          <w:b/>
        </w:rPr>
      </w:pPr>
      <w:r>
        <w:rPr>
          <w:rFonts w:ascii="Arial" w:hAnsi="Arial" w:cs="Arial"/>
          <w:b/>
        </w:rPr>
        <w:br w:type="page"/>
      </w:r>
    </w:p>
    <w:p w14:paraId="12B2A2BB" w14:textId="77777777" w:rsidR="001C27BA" w:rsidRPr="001C27BA" w:rsidRDefault="001C27BA" w:rsidP="00111F17">
      <w:pPr>
        <w:rPr>
          <w:rFonts w:ascii="Arial" w:hAnsi="Arial" w:cs="Arial"/>
          <w:b/>
        </w:rPr>
      </w:pPr>
      <w:r w:rsidRPr="001C27BA">
        <w:rPr>
          <w:rFonts w:ascii="Arial" w:hAnsi="Arial" w:cs="Arial"/>
          <w:b/>
        </w:rPr>
        <w:t>INTRODUCTION</w:t>
      </w:r>
    </w:p>
    <w:p w14:paraId="6A19A2B1" w14:textId="77777777" w:rsidR="001C27BA" w:rsidRDefault="001C27BA" w:rsidP="001C27BA">
      <w:pPr>
        <w:rPr>
          <w:rFonts w:ascii="Arial" w:hAnsi="Arial" w:cs="Arial"/>
        </w:rPr>
      </w:pPr>
    </w:p>
    <w:p w14:paraId="74835A6E" w14:textId="77777777" w:rsidR="0072247D" w:rsidRDefault="001C27BA" w:rsidP="00F34DD5">
      <w:pPr>
        <w:jc w:val="both"/>
        <w:rPr>
          <w:rFonts w:ascii="Arial" w:hAnsi="Arial" w:cs="Arial"/>
        </w:rPr>
      </w:pPr>
      <w:r w:rsidRPr="001C27BA">
        <w:rPr>
          <w:rFonts w:ascii="Arial" w:hAnsi="Arial" w:cs="Arial"/>
        </w:rPr>
        <w:t>Th</w:t>
      </w:r>
      <w:r>
        <w:rPr>
          <w:rFonts w:ascii="Arial" w:hAnsi="Arial" w:cs="Arial"/>
        </w:rPr>
        <w:t xml:space="preserve">is </w:t>
      </w:r>
      <w:r w:rsidR="00336CD6">
        <w:rPr>
          <w:rFonts w:ascii="Arial" w:hAnsi="Arial" w:cs="Arial"/>
        </w:rPr>
        <w:t xml:space="preserve">document is the </w:t>
      </w:r>
      <w:r w:rsidRPr="001C27BA">
        <w:rPr>
          <w:rFonts w:ascii="Arial" w:hAnsi="Arial" w:cs="Arial"/>
        </w:rPr>
        <w:t xml:space="preserve">written </w:t>
      </w:r>
      <w:r w:rsidR="00336CD6">
        <w:rPr>
          <w:rFonts w:ascii="Arial" w:hAnsi="Arial" w:cs="Arial"/>
        </w:rPr>
        <w:t>policy</w:t>
      </w:r>
      <w:r w:rsidRPr="001C27BA">
        <w:rPr>
          <w:rFonts w:ascii="Arial" w:hAnsi="Arial" w:cs="Arial"/>
        </w:rPr>
        <w:t xml:space="preserve"> of Kempley Parish Council </w:t>
      </w:r>
      <w:r w:rsidR="00CB1D1A">
        <w:rPr>
          <w:rFonts w:ascii="Arial" w:hAnsi="Arial" w:cs="Arial"/>
        </w:rPr>
        <w:t xml:space="preserve">(the Council) </w:t>
      </w:r>
      <w:r w:rsidR="007E7974">
        <w:rPr>
          <w:rFonts w:ascii="Arial" w:hAnsi="Arial" w:cs="Arial"/>
        </w:rPr>
        <w:t xml:space="preserve">regarding </w:t>
      </w:r>
      <w:r w:rsidR="005263DD">
        <w:rPr>
          <w:rFonts w:ascii="Arial" w:hAnsi="Arial" w:cs="Arial"/>
        </w:rPr>
        <w:t>its</w:t>
      </w:r>
      <w:r w:rsidRPr="001C27BA">
        <w:rPr>
          <w:rFonts w:ascii="Arial" w:hAnsi="Arial" w:cs="Arial"/>
        </w:rPr>
        <w:t xml:space="preserve"> </w:t>
      </w:r>
      <w:r w:rsidR="00583A57">
        <w:rPr>
          <w:rFonts w:ascii="Arial" w:hAnsi="Arial" w:cs="Arial"/>
        </w:rPr>
        <w:t>consideration of Planning Applications</w:t>
      </w:r>
      <w:r w:rsidR="00257BA7">
        <w:rPr>
          <w:rFonts w:ascii="Arial" w:hAnsi="Arial" w:cs="Arial"/>
        </w:rPr>
        <w:t xml:space="preserve"> made to the Forest of Dean District Council</w:t>
      </w:r>
      <w:r w:rsidR="0072247D">
        <w:rPr>
          <w:rFonts w:ascii="Arial" w:hAnsi="Arial" w:cs="Arial"/>
        </w:rPr>
        <w:t xml:space="preserve"> (the FoDDC)</w:t>
      </w:r>
      <w:r w:rsidR="005263DD">
        <w:rPr>
          <w:rFonts w:ascii="Arial" w:hAnsi="Arial" w:cs="Arial"/>
        </w:rPr>
        <w:t>.</w:t>
      </w:r>
      <w:r w:rsidR="001319A1">
        <w:rPr>
          <w:rFonts w:ascii="Arial" w:hAnsi="Arial" w:cs="Arial"/>
        </w:rPr>
        <w:t xml:space="preserve">  </w:t>
      </w:r>
    </w:p>
    <w:p w14:paraId="6E313102" w14:textId="77777777" w:rsidR="0072247D" w:rsidRDefault="0072247D" w:rsidP="00F34DD5">
      <w:pPr>
        <w:jc w:val="both"/>
        <w:rPr>
          <w:rFonts w:ascii="Arial" w:hAnsi="Arial" w:cs="Arial"/>
        </w:rPr>
      </w:pPr>
    </w:p>
    <w:p w14:paraId="70320E16" w14:textId="77777777" w:rsidR="005263DD" w:rsidRDefault="001319A1" w:rsidP="00F34DD5">
      <w:pPr>
        <w:jc w:val="both"/>
        <w:rPr>
          <w:rFonts w:ascii="Arial" w:hAnsi="Arial" w:cs="Arial"/>
        </w:rPr>
      </w:pPr>
      <w:r>
        <w:rPr>
          <w:rFonts w:ascii="Arial" w:hAnsi="Arial" w:cs="Arial"/>
        </w:rPr>
        <w:t>This policy will also apply to Planning Appeals, but with the responses being to the Planning Inspectorate.</w:t>
      </w:r>
      <w:r w:rsidR="0072247D">
        <w:rPr>
          <w:rFonts w:ascii="Arial" w:hAnsi="Arial" w:cs="Arial"/>
        </w:rPr>
        <w:t xml:space="preserve">  The FoDDC</w:t>
      </w:r>
      <w:r w:rsidR="0072247D" w:rsidRPr="0072247D">
        <w:rPr>
          <w:rFonts w:ascii="Arial" w:hAnsi="Arial" w:cs="Arial"/>
        </w:rPr>
        <w:t xml:space="preserve"> must tell anyone who has commented on </w:t>
      </w:r>
      <w:r w:rsidR="006628F1">
        <w:rPr>
          <w:rFonts w:ascii="Arial" w:hAnsi="Arial" w:cs="Arial"/>
        </w:rPr>
        <w:t>an</w:t>
      </w:r>
      <w:r w:rsidR="0072247D" w:rsidRPr="0072247D">
        <w:rPr>
          <w:rFonts w:ascii="Arial" w:hAnsi="Arial" w:cs="Arial"/>
        </w:rPr>
        <w:t xml:space="preserve"> application </w:t>
      </w:r>
      <w:r w:rsidR="0072247D">
        <w:rPr>
          <w:rFonts w:ascii="Arial" w:hAnsi="Arial" w:cs="Arial"/>
        </w:rPr>
        <w:t xml:space="preserve">that </w:t>
      </w:r>
      <w:r w:rsidR="0072247D" w:rsidRPr="0072247D">
        <w:rPr>
          <w:rFonts w:ascii="Arial" w:hAnsi="Arial" w:cs="Arial"/>
        </w:rPr>
        <w:t>a</w:t>
      </w:r>
      <w:r w:rsidR="006628F1">
        <w:rPr>
          <w:rFonts w:ascii="Arial" w:hAnsi="Arial" w:cs="Arial"/>
        </w:rPr>
        <w:t xml:space="preserve"> Planning A</w:t>
      </w:r>
      <w:r w:rsidR="0072247D" w:rsidRPr="0072247D">
        <w:rPr>
          <w:rFonts w:ascii="Arial" w:hAnsi="Arial" w:cs="Arial"/>
        </w:rPr>
        <w:t>ppeal</w:t>
      </w:r>
      <w:r w:rsidR="0072247D">
        <w:rPr>
          <w:rFonts w:ascii="Arial" w:hAnsi="Arial" w:cs="Arial"/>
        </w:rPr>
        <w:t xml:space="preserve"> has been made</w:t>
      </w:r>
      <w:r w:rsidR="0072247D" w:rsidRPr="0072247D">
        <w:rPr>
          <w:rFonts w:ascii="Arial" w:hAnsi="Arial" w:cs="Arial"/>
        </w:rPr>
        <w:t>.</w:t>
      </w:r>
    </w:p>
    <w:p w14:paraId="4B5365A4" w14:textId="77777777" w:rsidR="001C27BA" w:rsidRPr="001C27BA" w:rsidRDefault="00113BB1" w:rsidP="00F34DD5">
      <w:pPr>
        <w:jc w:val="both"/>
        <w:rPr>
          <w:rFonts w:ascii="Arial" w:hAnsi="Arial" w:cs="Arial"/>
        </w:rPr>
      </w:pPr>
      <w:r>
        <w:rPr>
          <w:rFonts w:ascii="Arial" w:hAnsi="Arial" w:cs="Arial"/>
        </w:rPr>
        <w:t xml:space="preserve"> </w:t>
      </w:r>
    </w:p>
    <w:p w14:paraId="596F23F6" w14:textId="77777777" w:rsidR="001C27BA" w:rsidRPr="001C27BA" w:rsidRDefault="007E7974" w:rsidP="009B7526">
      <w:pPr>
        <w:jc w:val="both"/>
        <w:rPr>
          <w:rFonts w:ascii="Arial" w:hAnsi="Arial" w:cs="Arial"/>
        </w:rPr>
      </w:pPr>
      <w:r>
        <w:rPr>
          <w:rFonts w:ascii="Arial" w:hAnsi="Arial" w:cs="Arial"/>
        </w:rPr>
        <w:t xml:space="preserve">A Policy is not the same as the </w:t>
      </w:r>
      <w:r w:rsidR="001C27BA" w:rsidRPr="001C27BA">
        <w:rPr>
          <w:rFonts w:ascii="Arial" w:hAnsi="Arial" w:cs="Arial"/>
        </w:rPr>
        <w:t xml:space="preserve">Standing Orders </w:t>
      </w:r>
      <w:r w:rsidR="00026F13">
        <w:rPr>
          <w:rFonts w:ascii="Arial" w:hAnsi="Arial" w:cs="Arial"/>
        </w:rPr>
        <w:t>adopted by the Council</w:t>
      </w:r>
      <w:r w:rsidR="001C27BA" w:rsidRPr="001C27BA">
        <w:rPr>
          <w:rFonts w:ascii="Arial" w:hAnsi="Arial" w:cs="Arial"/>
        </w:rPr>
        <w:t xml:space="preserve">. </w:t>
      </w:r>
    </w:p>
    <w:p w14:paraId="17C376FA" w14:textId="77777777" w:rsidR="00026F13" w:rsidRDefault="00026F13" w:rsidP="009B7526">
      <w:pPr>
        <w:jc w:val="both"/>
        <w:rPr>
          <w:rFonts w:ascii="Arial" w:hAnsi="Arial" w:cs="Arial"/>
        </w:rPr>
      </w:pPr>
    </w:p>
    <w:p w14:paraId="40B809CB" w14:textId="77777777" w:rsidR="006F5008" w:rsidRDefault="00026F13" w:rsidP="009B7526">
      <w:pPr>
        <w:jc w:val="both"/>
        <w:rPr>
          <w:rFonts w:ascii="Arial" w:hAnsi="Arial" w:cs="Arial"/>
        </w:rPr>
      </w:pPr>
      <w:r>
        <w:rPr>
          <w:rFonts w:ascii="Arial" w:hAnsi="Arial" w:cs="Arial"/>
        </w:rPr>
        <w:t xml:space="preserve">This Policy was adopted </w:t>
      </w:r>
      <w:r w:rsidR="006F5008">
        <w:rPr>
          <w:rFonts w:ascii="Arial" w:hAnsi="Arial" w:cs="Arial"/>
        </w:rPr>
        <w:t xml:space="preserve">or modified </w:t>
      </w:r>
      <w:r>
        <w:rPr>
          <w:rFonts w:ascii="Arial" w:hAnsi="Arial" w:cs="Arial"/>
        </w:rPr>
        <w:t>by the Parish Council</w:t>
      </w:r>
      <w:r w:rsidR="006F5008">
        <w:rPr>
          <w:rFonts w:ascii="Arial" w:hAnsi="Arial" w:cs="Arial"/>
        </w:rPr>
        <w:t>:</w:t>
      </w:r>
    </w:p>
    <w:p w14:paraId="6F5C9AB1" w14:textId="77777777"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556"/>
        <w:gridCol w:w="6277"/>
      </w:tblGrid>
      <w:tr w:rsidR="009B7526" w14:paraId="73BF1761" w14:textId="77777777" w:rsidTr="00602857">
        <w:tc>
          <w:tcPr>
            <w:tcW w:w="1384" w:type="dxa"/>
            <w:tcBorders>
              <w:bottom w:val="single" w:sz="4" w:space="0" w:color="auto"/>
            </w:tcBorders>
          </w:tcPr>
          <w:p w14:paraId="4EA7725C" w14:textId="77777777"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1559" w:type="dxa"/>
            <w:tcBorders>
              <w:bottom w:val="single" w:sz="4" w:space="0" w:color="auto"/>
            </w:tcBorders>
          </w:tcPr>
          <w:p w14:paraId="08DB0938" w14:textId="77777777" w:rsidR="009B7526" w:rsidRPr="009B7526" w:rsidRDefault="009B7526" w:rsidP="009B7526">
            <w:pPr>
              <w:jc w:val="both"/>
              <w:rPr>
                <w:rFonts w:ascii="Arial" w:hAnsi="Arial" w:cs="Arial"/>
                <w:b/>
                <w:sz w:val="20"/>
              </w:rPr>
            </w:pPr>
            <w:r w:rsidRPr="009B7526">
              <w:rPr>
                <w:rFonts w:ascii="Arial" w:hAnsi="Arial" w:cs="Arial"/>
                <w:b/>
                <w:sz w:val="20"/>
              </w:rPr>
              <w:t>Date</w:t>
            </w:r>
          </w:p>
        </w:tc>
        <w:tc>
          <w:tcPr>
            <w:tcW w:w="6379" w:type="dxa"/>
            <w:tcBorders>
              <w:bottom w:val="single" w:sz="4" w:space="0" w:color="auto"/>
            </w:tcBorders>
          </w:tcPr>
          <w:p w14:paraId="55FD5BFF" w14:textId="77777777" w:rsidR="009B7526" w:rsidRPr="009B7526" w:rsidRDefault="00602857" w:rsidP="009B7526">
            <w:pPr>
              <w:jc w:val="both"/>
              <w:rPr>
                <w:rFonts w:ascii="Arial" w:hAnsi="Arial" w:cs="Arial"/>
                <w:b/>
                <w:sz w:val="20"/>
              </w:rPr>
            </w:pPr>
            <w:r>
              <w:rPr>
                <w:rFonts w:ascii="Arial" w:hAnsi="Arial" w:cs="Arial"/>
                <w:b/>
                <w:sz w:val="20"/>
              </w:rPr>
              <w:t>Comment</w:t>
            </w:r>
          </w:p>
        </w:tc>
      </w:tr>
      <w:tr w:rsidR="009B7526" w14:paraId="31F90F3B" w14:textId="77777777" w:rsidTr="00602857">
        <w:tc>
          <w:tcPr>
            <w:tcW w:w="1384" w:type="dxa"/>
            <w:tcBorders>
              <w:top w:val="single" w:sz="4" w:space="0" w:color="auto"/>
            </w:tcBorders>
          </w:tcPr>
          <w:p w14:paraId="04F0EAF7" w14:textId="77777777" w:rsidR="009B7526" w:rsidRPr="00D42007" w:rsidRDefault="009B7526" w:rsidP="009B7526">
            <w:pPr>
              <w:jc w:val="both"/>
              <w:rPr>
                <w:rFonts w:ascii="Arial" w:hAnsi="Arial" w:cs="Arial"/>
                <w:szCs w:val="24"/>
              </w:rPr>
            </w:pPr>
            <w:r w:rsidRPr="00D42007">
              <w:rPr>
                <w:rFonts w:ascii="Arial" w:hAnsi="Arial" w:cs="Arial"/>
                <w:szCs w:val="24"/>
              </w:rPr>
              <w:t>Adopted:</w:t>
            </w:r>
          </w:p>
        </w:tc>
        <w:tc>
          <w:tcPr>
            <w:tcW w:w="1559" w:type="dxa"/>
            <w:tcBorders>
              <w:top w:val="single" w:sz="4" w:space="0" w:color="auto"/>
            </w:tcBorders>
          </w:tcPr>
          <w:p w14:paraId="2972A99F" w14:textId="77777777" w:rsidR="009B7526" w:rsidRPr="00D42007" w:rsidRDefault="00A311CF" w:rsidP="009B7526">
            <w:pPr>
              <w:jc w:val="both"/>
              <w:rPr>
                <w:rFonts w:ascii="Arial" w:hAnsi="Arial" w:cs="Arial"/>
                <w:szCs w:val="24"/>
              </w:rPr>
            </w:pPr>
            <w:r w:rsidRPr="00D42007">
              <w:rPr>
                <w:rFonts w:ascii="Arial" w:hAnsi="Arial" w:cs="Arial"/>
                <w:szCs w:val="24"/>
              </w:rPr>
              <w:t>06.11.</w:t>
            </w:r>
            <w:r w:rsidR="00E23E7B">
              <w:rPr>
                <w:rFonts w:ascii="Arial" w:hAnsi="Arial" w:cs="Arial"/>
                <w:szCs w:val="24"/>
              </w:rPr>
              <w:t>20</w:t>
            </w:r>
            <w:r w:rsidRPr="00D42007">
              <w:rPr>
                <w:rFonts w:ascii="Arial" w:hAnsi="Arial" w:cs="Arial"/>
                <w:szCs w:val="24"/>
              </w:rPr>
              <w:t>18</w:t>
            </w:r>
          </w:p>
        </w:tc>
        <w:tc>
          <w:tcPr>
            <w:tcW w:w="6379" w:type="dxa"/>
            <w:tcBorders>
              <w:top w:val="single" w:sz="4" w:space="0" w:color="auto"/>
            </w:tcBorders>
          </w:tcPr>
          <w:p w14:paraId="2EE212D4" w14:textId="77777777" w:rsidR="009B7526" w:rsidRPr="00D42007" w:rsidRDefault="00602857" w:rsidP="009B7526">
            <w:pPr>
              <w:jc w:val="both"/>
              <w:rPr>
                <w:rFonts w:ascii="Arial" w:hAnsi="Arial" w:cs="Arial"/>
                <w:szCs w:val="24"/>
              </w:rPr>
            </w:pPr>
            <w:r w:rsidRPr="00D42007">
              <w:rPr>
                <w:rFonts w:ascii="Arial" w:hAnsi="Arial" w:cs="Arial"/>
                <w:szCs w:val="24"/>
              </w:rPr>
              <w:t xml:space="preserve">For review at the </w:t>
            </w:r>
            <w:r w:rsidR="009B7526" w:rsidRPr="00D42007">
              <w:rPr>
                <w:rFonts w:ascii="Arial" w:hAnsi="Arial" w:cs="Arial"/>
                <w:szCs w:val="24"/>
              </w:rPr>
              <w:t>Annual Parish Council Meeting</w:t>
            </w:r>
          </w:p>
        </w:tc>
      </w:tr>
      <w:tr w:rsidR="009B7526" w14:paraId="622F0E71" w14:textId="77777777" w:rsidTr="00602857">
        <w:tc>
          <w:tcPr>
            <w:tcW w:w="1384" w:type="dxa"/>
          </w:tcPr>
          <w:p w14:paraId="098C4ED1" w14:textId="77777777" w:rsidR="009B7526" w:rsidRDefault="009B7526" w:rsidP="009B7526">
            <w:pPr>
              <w:jc w:val="both"/>
              <w:rPr>
                <w:rFonts w:ascii="Arial" w:hAnsi="Arial" w:cs="Arial"/>
                <w:szCs w:val="24"/>
              </w:rPr>
            </w:pPr>
            <w:r w:rsidRPr="00D42007">
              <w:rPr>
                <w:rFonts w:ascii="Arial" w:hAnsi="Arial" w:cs="Arial"/>
                <w:szCs w:val="24"/>
              </w:rPr>
              <w:t>Modified:</w:t>
            </w:r>
          </w:p>
          <w:p w14:paraId="3ACA1776" w14:textId="2D903DDB" w:rsidR="0043647B" w:rsidRPr="00D42007" w:rsidRDefault="0043647B" w:rsidP="009B7526">
            <w:pPr>
              <w:jc w:val="both"/>
              <w:rPr>
                <w:rFonts w:ascii="Arial" w:hAnsi="Arial" w:cs="Arial"/>
                <w:szCs w:val="24"/>
              </w:rPr>
            </w:pPr>
            <w:r>
              <w:rPr>
                <w:rFonts w:ascii="Arial" w:hAnsi="Arial" w:cs="Arial"/>
                <w:szCs w:val="24"/>
              </w:rPr>
              <w:t>Modified</w:t>
            </w:r>
          </w:p>
        </w:tc>
        <w:tc>
          <w:tcPr>
            <w:tcW w:w="1559" w:type="dxa"/>
          </w:tcPr>
          <w:p w14:paraId="083E8027" w14:textId="77777777" w:rsidR="009B7526" w:rsidRDefault="00E23E7B" w:rsidP="009B7526">
            <w:pPr>
              <w:jc w:val="both"/>
              <w:rPr>
                <w:rFonts w:ascii="Arial" w:hAnsi="Arial" w:cs="Arial"/>
                <w:szCs w:val="24"/>
              </w:rPr>
            </w:pPr>
            <w:r>
              <w:rPr>
                <w:rFonts w:ascii="Arial" w:hAnsi="Arial" w:cs="Arial"/>
                <w:szCs w:val="24"/>
              </w:rPr>
              <w:t>05.02.2019</w:t>
            </w:r>
          </w:p>
          <w:p w14:paraId="75F2D937" w14:textId="46C279C1" w:rsidR="0043647B" w:rsidRPr="00D42007" w:rsidRDefault="0043647B" w:rsidP="009B7526">
            <w:pPr>
              <w:jc w:val="both"/>
              <w:rPr>
                <w:rFonts w:ascii="Arial" w:hAnsi="Arial" w:cs="Arial"/>
                <w:szCs w:val="24"/>
              </w:rPr>
            </w:pPr>
            <w:r>
              <w:rPr>
                <w:rFonts w:ascii="Arial" w:hAnsi="Arial" w:cs="Arial"/>
                <w:szCs w:val="24"/>
              </w:rPr>
              <w:t>10.05.2021</w:t>
            </w:r>
          </w:p>
        </w:tc>
        <w:tc>
          <w:tcPr>
            <w:tcW w:w="6379" w:type="dxa"/>
          </w:tcPr>
          <w:p w14:paraId="13F5A796" w14:textId="77777777" w:rsidR="009B7526" w:rsidRDefault="002E7A81" w:rsidP="001F2181">
            <w:pPr>
              <w:jc w:val="both"/>
              <w:rPr>
                <w:rFonts w:ascii="Arial" w:hAnsi="Arial" w:cs="Arial"/>
                <w:color w:val="000000" w:themeColor="text1"/>
                <w:szCs w:val="24"/>
              </w:rPr>
            </w:pPr>
            <w:r w:rsidRPr="00E23E7B">
              <w:rPr>
                <w:rFonts w:ascii="Arial" w:hAnsi="Arial" w:cs="Arial"/>
                <w:color w:val="000000" w:themeColor="text1"/>
                <w:szCs w:val="24"/>
              </w:rPr>
              <w:t>Updated to acco</w:t>
            </w:r>
            <w:r w:rsidR="00DA1ACF" w:rsidRPr="00E23E7B">
              <w:rPr>
                <w:rFonts w:ascii="Arial" w:hAnsi="Arial" w:cs="Arial"/>
                <w:color w:val="000000" w:themeColor="text1"/>
                <w:szCs w:val="24"/>
              </w:rPr>
              <w:t xml:space="preserve">mmodate </w:t>
            </w:r>
            <w:r w:rsidRPr="00E23E7B">
              <w:rPr>
                <w:rFonts w:ascii="Arial" w:hAnsi="Arial" w:cs="Arial"/>
                <w:color w:val="000000" w:themeColor="text1"/>
                <w:szCs w:val="24"/>
              </w:rPr>
              <w:t>GAPTC Guidance</w:t>
            </w:r>
          </w:p>
          <w:p w14:paraId="0083FA89" w14:textId="1C2E7495" w:rsidR="0043647B" w:rsidRPr="00D42007" w:rsidRDefault="0043647B" w:rsidP="001F2181">
            <w:pPr>
              <w:jc w:val="both"/>
              <w:rPr>
                <w:rFonts w:ascii="Arial" w:hAnsi="Arial" w:cs="Arial"/>
                <w:szCs w:val="24"/>
              </w:rPr>
            </w:pPr>
            <w:r>
              <w:rPr>
                <w:rFonts w:ascii="Arial" w:hAnsi="Arial" w:cs="Arial"/>
                <w:color w:val="000000" w:themeColor="text1"/>
                <w:szCs w:val="24"/>
              </w:rPr>
              <w:t>Updated for review at the Annual Parish Council Meeting</w:t>
            </w:r>
          </w:p>
        </w:tc>
      </w:tr>
    </w:tbl>
    <w:p w14:paraId="4249F97E" w14:textId="77777777" w:rsidR="00026F13" w:rsidRPr="001C27BA" w:rsidRDefault="00026F13" w:rsidP="00026F13">
      <w:pPr>
        <w:rPr>
          <w:rFonts w:ascii="Arial" w:hAnsi="Arial" w:cs="Arial"/>
        </w:rPr>
      </w:pPr>
      <w:r>
        <w:rPr>
          <w:rFonts w:ascii="Arial" w:hAnsi="Arial" w:cs="Arial"/>
        </w:rPr>
        <w:t xml:space="preserve"> </w:t>
      </w:r>
    </w:p>
    <w:p w14:paraId="2AF5200E" w14:textId="77777777" w:rsidR="009657D6" w:rsidRPr="00CB1D1A" w:rsidRDefault="009657D6" w:rsidP="009657D6">
      <w:pPr>
        <w:spacing w:before="240" w:after="120"/>
        <w:jc w:val="both"/>
        <w:rPr>
          <w:rFonts w:ascii="Arial" w:hAnsi="Arial" w:cs="Arial"/>
          <w:szCs w:val="24"/>
        </w:rPr>
      </w:pPr>
      <w:r w:rsidRPr="0029078F">
        <w:rPr>
          <w:rFonts w:ascii="Arial" w:hAnsi="Arial" w:cs="Arial"/>
          <w:b/>
          <w:szCs w:val="24"/>
        </w:rPr>
        <w:t xml:space="preserve">Changes to this </w:t>
      </w:r>
      <w:r>
        <w:rPr>
          <w:rFonts w:ascii="Arial" w:hAnsi="Arial" w:cs="Arial"/>
          <w:b/>
          <w:szCs w:val="24"/>
        </w:rPr>
        <w:t>Policy</w:t>
      </w:r>
    </w:p>
    <w:p w14:paraId="18DB854A" w14:textId="77777777" w:rsidR="00CB1D1A" w:rsidRDefault="009657D6" w:rsidP="009657D6">
      <w:pPr>
        <w:spacing w:after="240"/>
        <w:jc w:val="both"/>
        <w:rPr>
          <w:rFonts w:ascii="Arial" w:hAnsi="Arial" w:cs="Arial"/>
          <w:szCs w:val="24"/>
        </w:rPr>
      </w:pPr>
      <w:r w:rsidRPr="0029078F">
        <w:rPr>
          <w:rFonts w:ascii="Arial" w:hAnsi="Arial" w:cs="Arial"/>
          <w:szCs w:val="24"/>
        </w:rPr>
        <w:t xml:space="preserve">We keep this </w:t>
      </w:r>
      <w:r w:rsidR="005263DD">
        <w:rPr>
          <w:rFonts w:ascii="Arial" w:hAnsi="Arial" w:cs="Arial"/>
          <w:szCs w:val="24"/>
        </w:rPr>
        <w:t>Plannin</w:t>
      </w:r>
      <w:r w:rsidR="00111DEB">
        <w:rPr>
          <w:rFonts w:ascii="Arial" w:hAnsi="Arial" w:cs="Arial"/>
          <w:szCs w:val="24"/>
        </w:rPr>
        <w:t>g</w:t>
      </w:r>
      <w:r w:rsidR="005263DD">
        <w:rPr>
          <w:rFonts w:ascii="Arial" w:hAnsi="Arial" w:cs="Arial"/>
          <w:szCs w:val="24"/>
        </w:rPr>
        <w:t xml:space="preserve"> Applications</w:t>
      </w:r>
      <w:r>
        <w:rPr>
          <w:rFonts w:ascii="Arial" w:hAnsi="Arial" w:cs="Arial"/>
          <w:szCs w:val="24"/>
        </w:rPr>
        <w:t xml:space="preserve"> Policy</w:t>
      </w:r>
      <w:r w:rsidRPr="0029078F">
        <w:rPr>
          <w:rFonts w:ascii="Arial" w:hAnsi="Arial" w:cs="Arial"/>
          <w:szCs w:val="24"/>
        </w:rPr>
        <w:t xml:space="preserve"> under regular review and we will place any updates on </w:t>
      </w:r>
      <w:r w:rsidR="00CB1D1A">
        <w:rPr>
          <w:rFonts w:ascii="Arial" w:hAnsi="Arial" w:cs="Arial"/>
          <w:szCs w:val="24"/>
        </w:rPr>
        <w:t xml:space="preserve">our website </w:t>
      </w:r>
      <w:hyperlink r:id="rId9" w:history="1">
        <w:r w:rsidR="00CB1D1A" w:rsidRPr="001A5E12">
          <w:rPr>
            <w:rStyle w:val="Hyperlink"/>
            <w:rFonts w:ascii="Arial" w:hAnsi="Arial" w:cs="Arial"/>
            <w:szCs w:val="24"/>
          </w:rPr>
          <w:t>www.kempleyparishcouncil.org</w:t>
        </w:r>
      </w:hyperlink>
      <w:r w:rsidR="00CB1D1A" w:rsidRPr="00CB1D1A">
        <w:rPr>
          <w:rFonts w:ascii="Arial" w:hAnsi="Arial" w:cs="Arial"/>
          <w:szCs w:val="24"/>
        </w:rPr>
        <w:t>.</w:t>
      </w:r>
    </w:p>
    <w:p w14:paraId="3895374F" w14:textId="77777777" w:rsidR="000541CD" w:rsidRDefault="000541CD" w:rsidP="009657D6">
      <w:pPr>
        <w:keepNext/>
        <w:spacing w:before="240" w:after="120"/>
        <w:jc w:val="both"/>
        <w:rPr>
          <w:rFonts w:ascii="Arial" w:hAnsi="Arial" w:cs="Arial"/>
          <w:b/>
          <w:szCs w:val="24"/>
        </w:rPr>
      </w:pPr>
    </w:p>
    <w:p w14:paraId="4F7799DB" w14:textId="77777777" w:rsidR="009657D6" w:rsidRPr="0029078F" w:rsidRDefault="009657D6" w:rsidP="009657D6">
      <w:pPr>
        <w:keepNext/>
        <w:spacing w:before="240" w:after="120"/>
        <w:jc w:val="both"/>
        <w:rPr>
          <w:rFonts w:ascii="Arial" w:hAnsi="Arial" w:cs="Arial"/>
          <w:b/>
          <w:szCs w:val="24"/>
        </w:rPr>
      </w:pPr>
      <w:r w:rsidRPr="0029078F">
        <w:rPr>
          <w:rFonts w:ascii="Arial" w:hAnsi="Arial" w:cs="Arial"/>
          <w:b/>
          <w:szCs w:val="24"/>
        </w:rPr>
        <w:t>Contact Details</w:t>
      </w:r>
    </w:p>
    <w:p w14:paraId="3A563D54" w14:textId="77777777" w:rsidR="009657D6" w:rsidRDefault="009657D6" w:rsidP="009657D6">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this </w:t>
      </w:r>
      <w:r w:rsidR="00CB1D1A">
        <w:rPr>
          <w:rFonts w:ascii="Arial" w:hAnsi="Arial" w:cs="Arial"/>
          <w:szCs w:val="24"/>
        </w:rPr>
        <w:t>p</w:t>
      </w:r>
      <w:r>
        <w:rPr>
          <w:rFonts w:ascii="Arial" w:hAnsi="Arial" w:cs="Arial"/>
          <w:szCs w:val="24"/>
        </w:rPr>
        <w:t>olicy</w:t>
      </w:r>
      <w:r w:rsidR="00CB1D1A">
        <w:rPr>
          <w:rFonts w:ascii="Arial" w:hAnsi="Arial" w:cs="Arial"/>
          <w:szCs w:val="24"/>
        </w:rPr>
        <w:t xml:space="preserve"> a</w:t>
      </w:r>
      <w:r w:rsidRPr="0029078F">
        <w:rPr>
          <w:rFonts w:ascii="Arial" w:hAnsi="Arial" w:cs="Arial"/>
          <w:szCs w:val="24"/>
        </w:rPr>
        <w:t>t:</w:t>
      </w:r>
    </w:p>
    <w:p w14:paraId="197B8008" w14:textId="77777777" w:rsidR="009657D6" w:rsidRPr="0029078F" w:rsidRDefault="009657D6" w:rsidP="009657D6">
      <w:pPr>
        <w:jc w:val="both"/>
        <w:rPr>
          <w:rFonts w:ascii="Arial" w:hAnsi="Arial" w:cs="Arial"/>
          <w:szCs w:val="24"/>
        </w:rPr>
      </w:pPr>
    </w:p>
    <w:p w14:paraId="31EB7572"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14:paraId="31055548"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The Croft, Kempley, GL18 2BU </w:t>
      </w:r>
    </w:p>
    <w:p w14:paraId="34A56DD8" w14:textId="1B8883E6" w:rsidR="009657D6" w:rsidRPr="00136347" w:rsidRDefault="00CB1D1A" w:rsidP="00CB1D1A">
      <w:pPr>
        <w:rPr>
          <w:rFonts w:ascii="Arial" w:hAnsi="Arial" w:cs="Arial"/>
          <w:color w:val="FF0000"/>
          <w:szCs w:val="24"/>
        </w:rPr>
      </w:pPr>
      <w:r w:rsidRPr="00CB1D1A">
        <w:rPr>
          <w:rFonts w:ascii="Arial" w:hAnsi="Arial" w:cs="Arial"/>
          <w:color w:val="000000"/>
          <w:sz w:val="23"/>
          <w:szCs w:val="23"/>
          <w:lang w:eastAsia="en-GB"/>
        </w:rPr>
        <w:t xml:space="preserve">Email: </w:t>
      </w:r>
      <w:r w:rsidR="00C601C0">
        <w:rPr>
          <w:rFonts w:ascii="Arial" w:hAnsi="Arial" w:cs="Arial"/>
          <w:color w:val="000000"/>
          <w:sz w:val="23"/>
          <w:szCs w:val="23"/>
          <w:lang w:eastAsia="en-GB"/>
        </w:rPr>
        <w:t>clerk@kempleyparishcouncil.org</w:t>
      </w:r>
      <w:r w:rsidR="009657D6" w:rsidRPr="00136347">
        <w:rPr>
          <w:rFonts w:ascii="Arial" w:hAnsi="Arial" w:cs="Arial"/>
          <w:color w:val="FF0000"/>
          <w:szCs w:val="24"/>
        </w:rPr>
        <w:tab/>
      </w:r>
    </w:p>
    <w:p w14:paraId="4973C445" w14:textId="77777777" w:rsidR="001C27BA" w:rsidRDefault="001C27BA">
      <w:pPr>
        <w:rPr>
          <w:rFonts w:ascii="Arial" w:hAnsi="Arial" w:cs="Arial"/>
          <w:szCs w:val="24"/>
          <w:lang w:val="en-US" w:eastAsia="ar-SA"/>
        </w:rPr>
      </w:pPr>
    </w:p>
    <w:p w14:paraId="793D6BDF" w14:textId="77777777" w:rsidR="00CC359C" w:rsidRDefault="00CC359C">
      <w:pPr>
        <w:rPr>
          <w:rFonts w:ascii="Arial" w:hAnsi="Arial" w:cs="Arial"/>
          <w:b/>
          <w:szCs w:val="24"/>
          <w:lang w:val="en-US" w:eastAsia="ar-SA"/>
        </w:rPr>
      </w:pPr>
      <w:r>
        <w:rPr>
          <w:rFonts w:ascii="Arial" w:hAnsi="Arial" w:cs="Arial"/>
          <w:b/>
        </w:rPr>
        <w:br w:type="page"/>
      </w:r>
    </w:p>
    <w:p w14:paraId="44603DED" w14:textId="77777777" w:rsidR="0029078F" w:rsidRDefault="004163F2" w:rsidP="0084615B">
      <w:pPr>
        <w:pStyle w:val="BodyText"/>
        <w:spacing w:after="120" w:line="240" w:lineRule="auto"/>
        <w:ind w:left="-567"/>
        <w:rPr>
          <w:rFonts w:ascii="Arial" w:hAnsi="Arial" w:cs="Arial"/>
          <w:b/>
        </w:rPr>
      </w:pPr>
      <w:r>
        <w:rPr>
          <w:rFonts w:ascii="Arial" w:hAnsi="Arial" w:cs="Arial"/>
          <w:b/>
        </w:rPr>
        <w:t>PLANNING APPLICATIONS</w:t>
      </w:r>
      <w:r w:rsidR="0084615B">
        <w:rPr>
          <w:rFonts w:ascii="Arial" w:hAnsi="Arial" w:cs="Arial"/>
          <w:b/>
        </w:rPr>
        <w:t xml:space="preserve"> POLICY</w:t>
      </w:r>
    </w:p>
    <w:p w14:paraId="3B3486F0" w14:textId="77777777" w:rsidR="0084615B" w:rsidRPr="002E7A81" w:rsidRDefault="0084615B"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Principles:</w:t>
      </w:r>
    </w:p>
    <w:p w14:paraId="692976DB" w14:textId="77777777" w:rsidR="004163F2" w:rsidRPr="002E7A81" w:rsidRDefault="004163F2" w:rsidP="00BC274E">
      <w:pPr>
        <w:pStyle w:val="BodyText"/>
        <w:spacing w:after="240" w:line="240" w:lineRule="auto"/>
        <w:rPr>
          <w:rFonts w:ascii="Arial" w:hAnsi="Arial" w:cs="Arial"/>
        </w:rPr>
      </w:pPr>
      <w:r w:rsidRPr="002E7A81">
        <w:rPr>
          <w:rFonts w:ascii="Arial" w:hAnsi="Arial" w:cs="Arial"/>
        </w:rPr>
        <w:t xml:space="preserve">Kempley Parish Council (the Council) wants to provide </w:t>
      </w:r>
      <w:r w:rsidR="00B7516F" w:rsidRPr="002E7A81">
        <w:rPr>
          <w:rFonts w:ascii="Arial" w:hAnsi="Arial" w:cs="Arial"/>
        </w:rPr>
        <w:t xml:space="preserve">proper responses to </w:t>
      </w:r>
      <w:r w:rsidR="00B27F96" w:rsidRPr="002E7A81">
        <w:rPr>
          <w:rFonts w:ascii="Arial" w:hAnsi="Arial" w:cs="Arial"/>
        </w:rPr>
        <w:t xml:space="preserve">consultations regarding </w:t>
      </w:r>
      <w:r w:rsidRPr="002E7A81">
        <w:rPr>
          <w:rFonts w:ascii="Arial" w:hAnsi="Arial" w:cs="Arial"/>
        </w:rPr>
        <w:t>Planning Applications made to the Forest of Dean District Council</w:t>
      </w:r>
      <w:r w:rsidR="00B7516F" w:rsidRPr="002E7A81">
        <w:rPr>
          <w:rFonts w:ascii="Arial" w:hAnsi="Arial" w:cs="Arial"/>
        </w:rPr>
        <w:t xml:space="preserve"> (</w:t>
      </w:r>
      <w:r w:rsidR="002D36AF" w:rsidRPr="002E7A81">
        <w:rPr>
          <w:rFonts w:ascii="Arial" w:hAnsi="Arial" w:cs="Arial"/>
        </w:rPr>
        <w:t xml:space="preserve">the </w:t>
      </w:r>
      <w:r w:rsidR="00B7516F" w:rsidRPr="002E7A81">
        <w:rPr>
          <w:rFonts w:ascii="Arial" w:hAnsi="Arial" w:cs="Arial"/>
        </w:rPr>
        <w:t>FoDDC)</w:t>
      </w:r>
      <w:r w:rsidR="00803CE8" w:rsidRPr="002E7A81">
        <w:rPr>
          <w:rFonts w:ascii="Arial" w:hAnsi="Arial" w:cs="Arial"/>
        </w:rPr>
        <w:t>, and Planning Appeals</w:t>
      </w:r>
      <w:r w:rsidRPr="002E7A81">
        <w:rPr>
          <w:rFonts w:ascii="Arial" w:hAnsi="Arial" w:cs="Arial"/>
        </w:rPr>
        <w:t>. To</w:t>
      </w:r>
      <w:r w:rsidR="00B7516F" w:rsidRPr="002E7A81">
        <w:rPr>
          <w:rFonts w:ascii="Arial" w:hAnsi="Arial" w:cs="Arial"/>
        </w:rPr>
        <w:t xml:space="preserve"> do this the Council will normally:</w:t>
      </w:r>
    </w:p>
    <w:p w14:paraId="76C1AF4F" w14:textId="631A45D8" w:rsidR="00B7516F" w:rsidRPr="002E7A81" w:rsidRDefault="00B7516F" w:rsidP="009661F1">
      <w:pPr>
        <w:pStyle w:val="BodyText"/>
        <w:numPr>
          <w:ilvl w:val="0"/>
          <w:numId w:val="9"/>
        </w:numPr>
        <w:spacing w:line="240" w:lineRule="auto"/>
        <w:ind w:left="567" w:hanging="567"/>
        <w:rPr>
          <w:rFonts w:ascii="Arial" w:hAnsi="Arial" w:cs="Arial"/>
        </w:rPr>
      </w:pPr>
      <w:r w:rsidRPr="002E7A81">
        <w:rPr>
          <w:rFonts w:ascii="Arial" w:hAnsi="Arial" w:cs="Arial"/>
        </w:rPr>
        <w:t xml:space="preserve">Provide </w:t>
      </w:r>
      <w:r w:rsidR="002D36AF" w:rsidRPr="002E7A81">
        <w:rPr>
          <w:rFonts w:ascii="Arial" w:hAnsi="Arial" w:cs="Arial"/>
        </w:rPr>
        <w:t>the FoDDC with a response to each</w:t>
      </w:r>
      <w:r w:rsidR="0043647B">
        <w:rPr>
          <w:rFonts w:ascii="Arial" w:hAnsi="Arial" w:cs="Arial"/>
        </w:rPr>
        <w:t xml:space="preserve"> high impact</w:t>
      </w:r>
      <w:r w:rsidR="002D36AF" w:rsidRPr="002E7A81">
        <w:rPr>
          <w:rFonts w:ascii="Arial" w:hAnsi="Arial" w:cs="Arial"/>
        </w:rPr>
        <w:t xml:space="preserve"> consultation it receives</w:t>
      </w:r>
      <w:r w:rsidR="009661F1" w:rsidRPr="002E7A81">
        <w:rPr>
          <w:rFonts w:ascii="Arial" w:hAnsi="Arial" w:cs="Arial"/>
        </w:rPr>
        <w:t xml:space="preserve"> from them</w:t>
      </w:r>
      <w:r w:rsidR="0043647B">
        <w:rPr>
          <w:rFonts w:ascii="Arial" w:hAnsi="Arial" w:cs="Arial"/>
        </w:rPr>
        <w:t xml:space="preserve"> and to low impact consultations, where in the opinion of the Council significant community interests are identified</w:t>
      </w:r>
      <w:r w:rsidR="002D36AF" w:rsidRPr="002E7A81">
        <w:rPr>
          <w:rFonts w:ascii="Arial" w:hAnsi="Arial" w:cs="Arial"/>
        </w:rPr>
        <w:t>;</w:t>
      </w:r>
    </w:p>
    <w:p w14:paraId="7F6F5E49" w14:textId="77777777" w:rsidR="002D36AF" w:rsidRPr="002E7A81" w:rsidRDefault="002D36AF" w:rsidP="009661F1">
      <w:pPr>
        <w:pStyle w:val="BodyText"/>
        <w:numPr>
          <w:ilvl w:val="0"/>
          <w:numId w:val="9"/>
        </w:numPr>
        <w:spacing w:line="240" w:lineRule="auto"/>
        <w:ind w:left="567" w:hanging="567"/>
        <w:rPr>
          <w:rFonts w:ascii="Arial" w:hAnsi="Arial" w:cs="Arial"/>
        </w:rPr>
      </w:pPr>
      <w:r w:rsidRPr="002E7A81">
        <w:rPr>
          <w:rFonts w:ascii="Arial" w:hAnsi="Arial" w:cs="Arial"/>
        </w:rPr>
        <w:t xml:space="preserve">Say whether there is support </w:t>
      </w:r>
      <w:r w:rsidR="00357889" w:rsidRPr="002E7A81">
        <w:rPr>
          <w:rFonts w:ascii="Arial" w:hAnsi="Arial" w:cs="Arial"/>
        </w:rPr>
        <w:t xml:space="preserve">or opposition to the </w:t>
      </w:r>
      <w:r w:rsidR="00B27F96" w:rsidRPr="002E7A81">
        <w:rPr>
          <w:rFonts w:ascii="Arial" w:hAnsi="Arial" w:cs="Arial"/>
        </w:rPr>
        <w:t>Planning Application</w:t>
      </w:r>
      <w:r w:rsidR="00357889" w:rsidRPr="002E7A81">
        <w:rPr>
          <w:rFonts w:ascii="Arial" w:hAnsi="Arial" w:cs="Arial"/>
        </w:rPr>
        <w:t xml:space="preserve">, </w:t>
      </w:r>
      <w:r w:rsidR="009661F1" w:rsidRPr="002E7A81">
        <w:rPr>
          <w:rFonts w:ascii="Arial" w:hAnsi="Arial" w:cs="Arial"/>
        </w:rPr>
        <w:t>giving reasons</w:t>
      </w:r>
      <w:r w:rsidR="00A433E2" w:rsidRPr="002E7A81">
        <w:rPr>
          <w:rFonts w:ascii="Arial" w:hAnsi="Arial" w:cs="Arial"/>
        </w:rPr>
        <w:t>;</w:t>
      </w:r>
    </w:p>
    <w:p w14:paraId="6E8108A2" w14:textId="77777777" w:rsidR="003816F6" w:rsidRPr="002E7A81" w:rsidRDefault="00357889" w:rsidP="00A36253">
      <w:pPr>
        <w:pStyle w:val="BodyText"/>
        <w:numPr>
          <w:ilvl w:val="0"/>
          <w:numId w:val="9"/>
        </w:numPr>
        <w:spacing w:line="240" w:lineRule="auto"/>
        <w:ind w:left="567" w:hanging="567"/>
        <w:rPr>
          <w:rFonts w:ascii="Arial" w:hAnsi="Arial" w:cs="Arial"/>
        </w:rPr>
      </w:pPr>
      <w:r w:rsidRPr="002E7A81">
        <w:rPr>
          <w:rFonts w:ascii="Arial" w:hAnsi="Arial" w:cs="Arial"/>
        </w:rPr>
        <w:t xml:space="preserve">Where relevant </w:t>
      </w:r>
      <w:r w:rsidR="00850507" w:rsidRPr="002E7A81">
        <w:rPr>
          <w:rFonts w:ascii="Arial" w:hAnsi="Arial" w:cs="Arial"/>
        </w:rPr>
        <w:t>state</w:t>
      </w:r>
      <w:r w:rsidRPr="002E7A81">
        <w:rPr>
          <w:rFonts w:ascii="Arial" w:hAnsi="Arial" w:cs="Arial"/>
        </w:rPr>
        <w:t xml:space="preserve"> where, in the Council’s opinion, the </w:t>
      </w:r>
      <w:r w:rsidR="00273E74" w:rsidRPr="002E7A81">
        <w:rPr>
          <w:rFonts w:ascii="Arial" w:hAnsi="Arial" w:cs="Arial"/>
        </w:rPr>
        <w:t>Planning Application</w:t>
      </w:r>
      <w:r w:rsidRPr="002E7A81">
        <w:rPr>
          <w:rFonts w:ascii="Arial" w:hAnsi="Arial" w:cs="Arial"/>
        </w:rPr>
        <w:t xml:space="preserve"> align</w:t>
      </w:r>
      <w:r w:rsidR="00273E74" w:rsidRPr="002E7A81">
        <w:rPr>
          <w:rFonts w:ascii="Arial" w:hAnsi="Arial" w:cs="Arial"/>
        </w:rPr>
        <w:t>s</w:t>
      </w:r>
      <w:r w:rsidRPr="002E7A81">
        <w:rPr>
          <w:rFonts w:ascii="Arial" w:hAnsi="Arial" w:cs="Arial"/>
        </w:rPr>
        <w:t xml:space="preserve"> </w:t>
      </w:r>
      <w:r w:rsidR="009661F1" w:rsidRPr="002E7A81">
        <w:rPr>
          <w:rFonts w:ascii="Arial" w:hAnsi="Arial" w:cs="Arial"/>
        </w:rPr>
        <w:t>with or depart</w:t>
      </w:r>
      <w:r w:rsidR="00273E74" w:rsidRPr="002E7A81">
        <w:rPr>
          <w:rFonts w:ascii="Arial" w:hAnsi="Arial" w:cs="Arial"/>
        </w:rPr>
        <w:t>s</w:t>
      </w:r>
      <w:r w:rsidR="009661F1" w:rsidRPr="002E7A81">
        <w:rPr>
          <w:rFonts w:ascii="Arial" w:hAnsi="Arial" w:cs="Arial"/>
        </w:rPr>
        <w:t xml:space="preserve"> from </w:t>
      </w:r>
      <w:r w:rsidRPr="002E7A81">
        <w:rPr>
          <w:rFonts w:ascii="Arial" w:hAnsi="Arial" w:cs="Arial"/>
        </w:rPr>
        <w:t>the views of the community as expressed in the Community Led Plan</w:t>
      </w:r>
      <w:r w:rsidR="003816F6" w:rsidRPr="002E7A81">
        <w:rPr>
          <w:rFonts w:ascii="Arial" w:hAnsi="Arial" w:cs="Arial"/>
        </w:rPr>
        <w:t>;</w:t>
      </w:r>
    </w:p>
    <w:p w14:paraId="67352144" w14:textId="77777777" w:rsidR="00A433E2" w:rsidRPr="002E7A81" w:rsidRDefault="00654891" w:rsidP="00A36253">
      <w:pPr>
        <w:pStyle w:val="BodyText"/>
        <w:numPr>
          <w:ilvl w:val="0"/>
          <w:numId w:val="9"/>
        </w:numPr>
        <w:spacing w:line="240" w:lineRule="auto"/>
        <w:ind w:left="567" w:hanging="567"/>
        <w:rPr>
          <w:rFonts w:ascii="Arial" w:hAnsi="Arial" w:cs="Arial"/>
        </w:rPr>
      </w:pPr>
      <w:r w:rsidRPr="002E7A81">
        <w:rPr>
          <w:rFonts w:ascii="Arial" w:hAnsi="Arial" w:cs="Arial"/>
        </w:rPr>
        <w:t>Also u</w:t>
      </w:r>
      <w:r w:rsidR="003816F6" w:rsidRPr="002E7A81">
        <w:rPr>
          <w:rFonts w:ascii="Arial" w:hAnsi="Arial" w:cs="Arial"/>
        </w:rPr>
        <w:t>se this Policy for Planning Appeals</w:t>
      </w:r>
      <w:r w:rsidR="00A433E2" w:rsidRPr="002E7A81">
        <w:rPr>
          <w:rFonts w:ascii="Arial" w:hAnsi="Arial" w:cs="Arial"/>
        </w:rPr>
        <w:t>, and</w:t>
      </w:r>
    </w:p>
    <w:p w14:paraId="7C4A15A0" w14:textId="77777777" w:rsidR="00357889" w:rsidRPr="002E7A81" w:rsidRDefault="00A433E2" w:rsidP="00A36253">
      <w:pPr>
        <w:pStyle w:val="BodyText"/>
        <w:numPr>
          <w:ilvl w:val="0"/>
          <w:numId w:val="9"/>
        </w:numPr>
        <w:spacing w:after="240" w:line="240" w:lineRule="auto"/>
        <w:ind w:left="567" w:hanging="567"/>
        <w:rPr>
          <w:rFonts w:ascii="Arial" w:hAnsi="Arial" w:cs="Arial"/>
        </w:rPr>
      </w:pPr>
      <w:r w:rsidRPr="002E7A81">
        <w:rPr>
          <w:rFonts w:ascii="Arial" w:hAnsi="Arial" w:cs="Arial"/>
        </w:rPr>
        <w:t>Have a Councillor nominated</w:t>
      </w:r>
      <w:r w:rsidR="00A36253" w:rsidRPr="002E7A81">
        <w:rPr>
          <w:rFonts w:ascii="Arial" w:hAnsi="Arial" w:cs="Arial"/>
        </w:rPr>
        <w:t xml:space="preserve"> </w:t>
      </w:r>
      <w:r w:rsidR="00FC5BCC" w:rsidRPr="002E7A81">
        <w:rPr>
          <w:rFonts w:ascii="Arial" w:hAnsi="Arial" w:cs="Arial"/>
        </w:rPr>
        <w:t xml:space="preserve">as Officer Responsible </w:t>
      </w:r>
      <w:r w:rsidR="00A36253" w:rsidRPr="002E7A81">
        <w:rPr>
          <w:rFonts w:ascii="Arial" w:hAnsi="Arial" w:cs="Arial"/>
        </w:rPr>
        <w:t>with a Planning remit for liaison purposes</w:t>
      </w:r>
      <w:r w:rsidR="00357889" w:rsidRPr="002E7A81">
        <w:rPr>
          <w:rFonts w:ascii="Arial" w:hAnsi="Arial" w:cs="Arial"/>
        </w:rPr>
        <w:t xml:space="preserve">. </w:t>
      </w:r>
    </w:p>
    <w:p w14:paraId="412C98DB" w14:textId="77777777" w:rsidR="00AE0A8B" w:rsidRPr="002E7A81" w:rsidRDefault="00AE0A8B"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Consultations:</w:t>
      </w:r>
    </w:p>
    <w:p w14:paraId="66F0DB9A" w14:textId="77777777" w:rsidR="00AE0A8B" w:rsidRPr="002E7A81" w:rsidRDefault="00AE0A8B" w:rsidP="0084615B">
      <w:pPr>
        <w:pStyle w:val="BodyText"/>
        <w:spacing w:before="120" w:after="120" w:line="240" w:lineRule="auto"/>
        <w:rPr>
          <w:rFonts w:ascii="Arial" w:hAnsi="Arial" w:cs="Arial"/>
        </w:rPr>
      </w:pPr>
      <w:r w:rsidRPr="002E7A81">
        <w:rPr>
          <w:rFonts w:ascii="Arial" w:hAnsi="Arial" w:cs="Arial"/>
        </w:rPr>
        <w:t>The FoDDC provides the Council with notifications of Planning Applications made to it</w:t>
      </w:r>
      <w:r w:rsidR="00072188" w:rsidRPr="002E7A81">
        <w:rPr>
          <w:rFonts w:ascii="Arial" w:hAnsi="Arial" w:cs="Arial"/>
        </w:rPr>
        <w:t xml:space="preserve">, and they give the Council a </w:t>
      </w:r>
      <w:r w:rsidR="00E94A8B">
        <w:rPr>
          <w:rFonts w:ascii="Arial" w:hAnsi="Arial" w:cs="Arial"/>
        </w:rPr>
        <w:t>response</w:t>
      </w:r>
      <w:r w:rsidR="00072188" w:rsidRPr="002E7A81">
        <w:rPr>
          <w:rFonts w:ascii="Arial" w:hAnsi="Arial" w:cs="Arial"/>
        </w:rPr>
        <w:t xml:space="preserve"> date by which to provide comment.  This consultation by FoDDC is not binding on them. </w:t>
      </w:r>
      <w:r w:rsidR="007641F3" w:rsidRPr="002E7A81">
        <w:rPr>
          <w:rFonts w:ascii="Arial" w:hAnsi="Arial" w:cs="Arial"/>
        </w:rPr>
        <w:t xml:space="preserve"> </w:t>
      </w:r>
      <w:r w:rsidR="00072188" w:rsidRPr="002E7A81">
        <w:rPr>
          <w:rFonts w:ascii="Arial" w:hAnsi="Arial" w:cs="Arial"/>
        </w:rPr>
        <w:t xml:space="preserve">For example </w:t>
      </w:r>
      <w:r w:rsidR="00C9288C" w:rsidRPr="002E7A81">
        <w:rPr>
          <w:rFonts w:ascii="Arial" w:hAnsi="Arial" w:cs="Arial"/>
        </w:rPr>
        <w:t xml:space="preserve">any </w:t>
      </w:r>
      <w:r w:rsidR="00072188" w:rsidRPr="002E7A81">
        <w:rPr>
          <w:rFonts w:ascii="Arial" w:hAnsi="Arial" w:cs="Arial"/>
        </w:rPr>
        <w:t xml:space="preserve">support or opposition by the Council </w:t>
      </w:r>
      <w:r w:rsidR="00C9288C" w:rsidRPr="002E7A81">
        <w:rPr>
          <w:rFonts w:ascii="Arial" w:hAnsi="Arial" w:cs="Arial"/>
        </w:rPr>
        <w:t xml:space="preserve">to a particular application </w:t>
      </w:r>
      <w:r w:rsidR="00072188" w:rsidRPr="002E7A81">
        <w:rPr>
          <w:rFonts w:ascii="Arial" w:hAnsi="Arial" w:cs="Arial"/>
        </w:rPr>
        <w:t xml:space="preserve">may not have </w:t>
      </w:r>
      <w:r w:rsidR="00C3469F" w:rsidRPr="002E7A81">
        <w:rPr>
          <w:rFonts w:ascii="Arial" w:hAnsi="Arial" w:cs="Arial"/>
        </w:rPr>
        <w:t>a huge</w:t>
      </w:r>
      <w:r w:rsidR="00072188" w:rsidRPr="002E7A81">
        <w:rPr>
          <w:rFonts w:ascii="Arial" w:hAnsi="Arial" w:cs="Arial"/>
        </w:rPr>
        <w:t xml:space="preserve"> influence on the</w:t>
      </w:r>
      <w:r w:rsidR="00C3469F" w:rsidRPr="002E7A81">
        <w:rPr>
          <w:rFonts w:ascii="Arial" w:hAnsi="Arial" w:cs="Arial"/>
        </w:rPr>
        <w:t xml:space="preserve"> FoDDC</w:t>
      </w:r>
      <w:r w:rsidR="00072188" w:rsidRPr="002E7A81">
        <w:rPr>
          <w:rFonts w:ascii="Arial" w:hAnsi="Arial" w:cs="Arial"/>
        </w:rPr>
        <w:t xml:space="preserve"> decision</w:t>
      </w:r>
      <w:r w:rsidR="00C9288C" w:rsidRPr="002E7A81">
        <w:rPr>
          <w:rFonts w:ascii="Arial" w:hAnsi="Arial" w:cs="Arial"/>
        </w:rPr>
        <w:t xml:space="preserve">, but they </w:t>
      </w:r>
      <w:r w:rsidR="007641F3" w:rsidRPr="002E7A81">
        <w:rPr>
          <w:rFonts w:ascii="Arial" w:hAnsi="Arial" w:cs="Arial"/>
        </w:rPr>
        <w:t>should</w:t>
      </w:r>
      <w:r w:rsidR="00C9288C" w:rsidRPr="002E7A81">
        <w:rPr>
          <w:rFonts w:ascii="Arial" w:hAnsi="Arial" w:cs="Arial"/>
        </w:rPr>
        <w:t xml:space="preserve"> have regard to what is said.  Hopefully </w:t>
      </w:r>
      <w:r w:rsidR="007223DE" w:rsidRPr="002E7A81">
        <w:rPr>
          <w:rFonts w:ascii="Arial" w:hAnsi="Arial" w:cs="Arial"/>
        </w:rPr>
        <w:t>the Council’s response</w:t>
      </w:r>
      <w:r w:rsidR="00C9288C" w:rsidRPr="002E7A81">
        <w:rPr>
          <w:rFonts w:ascii="Arial" w:hAnsi="Arial" w:cs="Arial"/>
        </w:rPr>
        <w:t xml:space="preserve"> will be helpful where there are contentious matters.</w:t>
      </w:r>
    </w:p>
    <w:p w14:paraId="41259F2D" w14:textId="722C2DDB" w:rsidR="00B56D0B" w:rsidRPr="002E7A81" w:rsidRDefault="00B56D0B" w:rsidP="00EA19DA">
      <w:pPr>
        <w:pStyle w:val="BodyText"/>
        <w:spacing w:before="120" w:after="120" w:line="240" w:lineRule="auto"/>
        <w:rPr>
          <w:rFonts w:ascii="Arial" w:hAnsi="Arial" w:cs="Arial"/>
        </w:rPr>
      </w:pPr>
      <w:r w:rsidRPr="002E7A81">
        <w:rPr>
          <w:rFonts w:ascii="Arial" w:hAnsi="Arial" w:cs="Arial"/>
        </w:rPr>
        <w:t>The FoDDC normally no</w:t>
      </w:r>
      <w:r w:rsidR="00791A3A" w:rsidRPr="002E7A81">
        <w:rPr>
          <w:rFonts w:ascii="Arial" w:hAnsi="Arial" w:cs="Arial"/>
        </w:rPr>
        <w:t>tify</w:t>
      </w:r>
      <w:r w:rsidRPr="002E7A81">
        <w:rPr>
          <w:rFonts w:ascii="Arial" w:hAnsi="Arial" w:cs="Arial"/>
        </w:rPr>
        <w:t xml:space="preserve"> neighbours of a proposed development directly, as it is they who have the strongest voice</w:t>
      </w:r>
      <w:r w:rsidR="00791A3A" w:rsidRPr="002E7A81">
        <w:rPr>
          <w:rFonts w:ascii="Arial" w:hAnsi="Arial" w:cs="Arial"/>
        </w:rPr>
        <w:t xml:space="preserve">.  It is the Council’s opinion that members of the community remote from an application site do not have such a strong voice, unless </w:t>
      </w:r>
      <w:r w:rsidR="004D30FC">
        <w:rPr>
          <w:rFonts w:ascii="Arial" w:hAnsi="Arial" w:cs="Arial"/>
          <w:color w:val="000000" w:themeColor="text1"/>
        </w:rPr>
        <w:t xml:space="preserve">material planning considerations </w:t>
      </w:r>
      <w:r w:rsidR="0043647B">
        <w:rPr>
          <w:rFonts w:ascii="Arial" w:hAnsi="Arial" w:cs="Arial"/>
        </w:rPr>
        <w:t>of community wide significance are identified by the Council</w:t>
      </w:r>
      <w:r w:rsidR="00791A3A" w:rsidRPr="002E7A81">
        <w:rPr>
          <w:rFonts w:ascii="Arial" w:hAnsi="Arial" w:cs="Arial"/>
        </w:rPr>
        <w:t>.</w:t>
      </w:r>
      <w:r w:rsidR="003C1185" w:rsidRPr="002E7A81">
        <w:rPr>
          <w:rFonts w:ascii="Arial" w:hAnsi="Arial" w:cs="Arial"/>
        </w:rPr>
        <w:t xml:space="preserve">  In view of the latter the </w:t>
      </w:r>
      <w:r w:rsidR="007C005F" w:rsidRPr="002E7A81">
        <w:rPr>
          <w:rFonts w:ascii="Arial" w:hAnsi="Arial" w:cs="Arial"/>
        </w:rPr>
        <w:t>Council</w:t>
      </w:r>
      <w:r w:rsidR="003C1185" w:rsidRPr="002E7A81">
        <w:rPr>
          <w:rFonts w:ascii="Arial" w:hAnsi="Arial" w:cs="Arial"/>
        </w:rPr>
        <w:t xml:space="preserve"> always urge</w:t>
      </w:r>
      <w:r w:rsidR="00BC274E" w:rsidRPr="002E7A81">
        <w:rPr>
          <w:rFonts w:ascii="Arial" w:hAnsi="Arial" w:cs="Arial"/>
        </w:rPr>
        <w:t>s</w:t>
      </w:r>
      <w:r w:rsidR="003C1185" w:rsidRPr="002E7A81">
        <w:rPr>
          <w:rFonts w:ascii="Arial" w:hAnsi="Arial" w:cs="Arial"/>
        </w:rPr>
        <w:t xml:space="preserve"> individuals to provide comment directly to the FoDDC</w:t>
      </w:r>
      <w:r w:rsidR="00CB706F" w:rsidRPr="002E7A81">
        <w:rPr>
          <w:rFonts w:ascii="Arial" w:hAnsi="Arial" w:cs="Arial"/>
        </w:rPr>
        <w:t>, and not simply rely on the Council’s response.</w:t>
      </w:r>
    </w:p>
    <w:p w14:paraId="5B586154" w14:textId="77777777" w:rsidR="0029078F" w:rsidRPr="002E7A81" w:rsidRDefault="00C40C9E"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 xml:space="preserve">The </w:t>
      </w:r>
      <w:r w:rsidR="00AE0A8B" w:rsidRPr="002E7A81">
        <w:rPr>
          <w:rFonts w:ascii="Arial" w:hAnsi="Arial" w:cs="Arial"/>
          <w:b/>
        </w:rPr>
        <w:t>Community Lead Plan</w:t>
      </w:r>
      <w:r w:rsidR="00607AA8" w:rsidRPr="002E7A81">
        <w:rPr>
          <w:rFonts w:ascii="Arial" w:hAnsi="Arial" w:cs="Arial"/>
          <w:b/>
        </w:rPr>
        <w:t xml:space="preserve"> (CLP) </w:t>
      </w:r>
      <w:r w:rsidR="007C3B52" w:rsidRPr="002E7A81">
        <w:rPr>
          <w:rFonts w:ascii="Arial" w:hAnsi="Arial" w:cs="Arial"/>
          <w:b/>
        </w:rPr>
        <w:t>:</w:t>
      </w:r>
      <w:r w:rsidRPr="002E7A81">
        <w:rPr>
          <w:rFonts w:ascii="Arial" w:hAnsi="Arial" w:cs="Arial"/>
          <w:b/>
        </w:rPr>
        <w:t xml:space="preserve"> </w:t>
      </w:r>
      <w:r w:rsidR="0029078F" w:rsidRPr="002E7A81">
        <w:rPr>
          <w:rFonts w:ascii="Arial" w:hAnsi="Arial" w:cs="Arial"/>
          <w:b/>
        </w:rPr>
        <w:t xml:space="preserve"> </w:t>
      </w:r>
    </w:p>
    <w:p w14:paraId="689AC781" w14:textId="77777777" w:rsidR="00637933" w:rsidRPr="002E7A81" w:rsidRDefault="00637933" w:rsidP="0071757D">
      <w:pPr>
        <w:jc w:val="both"/>
        <w:rPr>
          <w:rFonts w:ascii="Arial" w:hAnsi="Arial" w:cs="Arial"/>
        </w:rPr>
      </w:pPr>
      <w:r w:rsidRPr="002E7A81">
        <w:rPr>
          <w:rFonts w:ascii="Arial" w:hAnsi="Arial" w:cs="Arial"/>
          <w:szCs w:val="24"/>
          <w:lang w:val="en-US" w:eastAsia="ar-SA"/>
        </w:rPr>
        <w:t xml:space="preserve">The Parish Council carried out a wide-ranging consultation to canvas the views of </w:t>
      </w:r>
      <w:r w:rsidR="0071757D" w:rsidRPr="002E7A81">
        <w:rPr>
          <w:rFonts w:ascii="Arial" w:hAnsi="Arial" w:cs="Arial"/>
          <w:szCs w:val="24"/>
          <w:lang w:val="en-US" w:eastAsia="ar-SA"/>
        </w:rPr>
        <w:t xml:space="preserve">the community. The </w:t>
      </w:r>
      <w:r w:rsidR="007C005F" w:rsidRPr="002E7A81">
        <w:rPr>
          <w:rFonts w:ascii="Arial" w:hAnsi="Arial" w:cs="Arial"/>
          <w:szCs w:val="24"/>
          <w:lang w:val="en-US" w:eastAsia="ar-SA"/>
        </w:rPr>
        <w:t>consultation</w:t>
      </w:r>
      <w:r w:rsidR="0071757D" w:rsidRPr="002E7A81">
        <w:rPr>
          <w:rFonts w:ascii="Arial" w:hAnsi="Arial" w:cs="Arial"/>
          <w:szCs w:val="24"/>
          <w:lang w:val="en-US" w:eastAsia="ar-SA"/>
        </w:rPr>
        <w:t xml:space="preserve"> involved </w:t>
      </w:r>
      <w:r w:rsidR="006A1734" w:rsidRPr="002E7A81">
        <w:rPr>
          <w:rFonts w:ascii="Arial" w:hAnsi="Arial" w:cs="Arial"/>
          <w:szCs w:val="24"/>
          <w:lang w:val="en-US" w:eastAsia="ar-SA"/>
        </w:rPr>
        <w:t xml:space="preserve">village </w:t>
      </w:r>
      <w:r w:rsidR="0071757D" w:rsidRPr="002E7A81">
        <w:rPr>
          <w:rFonts w:ascii="Arial" w:hAnsi="Arial" w:cs="Arial"/>
          <w:szCs w:val="24"/>
          <w:lang w:val="en-US" w:eastAsia="ar-SA"/>
        </w:rPr>
        <w:t xml:space="preserve">meetings and a questionnaire circulated to all the community </w:t>
      </w:r>
      <w:r w:rsidR="006A1734" w:rsidRPr="002E7A81">
        <w:rPr>
          <w:rFonts w:ascii="Arial" w:hAnsi="Arial" w:cs="Arial"/>
          <w:szCs w:val="24"/>
          <w:lang w:val="en-US" w:eastAsia="ar-SA"/>
        </w:rPr>
        <w:t>with responses</w:t>
      </w:r>
      <w:r w:rsidRPr="002E7A81">
        <w:rPr>
          <w:rFonts w:ascii="Arial" w:hAnsi="Arial" w:cs="Arial"/>
          <w:szCs w:val="24"/>
          <w:lang w:val="en-US" w:eastAsia="ar-SA"/>
        </w:rPr>
        <w:t xml:space="preserve"> form</w:t>
      </w:r>
      <w:r w:rsidR="006A1734" w:rsidRPr="002E7A81">
        <w:rPr>
          <w:rFonts w:ascii="Arial" w:hAnsi="Arial" w:cs="Arial"/>
          <w:szCs w:val="24"/>
          <w:lang w:val="en-US" w:eastAsia="ar-SA"/>
        </w:rPr>
        <w:t>ing</w:t>
      </w:r>
      <w:r w:rsidRPr="002E7A81">
        <w:rPr>
          <w:rFonts w:ascii="Arial" w:hAnsi="Arial" w:cs="Arial"/>
          <w:szCs w:val="24"/>
          <w:lang w:val="en-US" w:eastAsia="ar-SA"/>
        </w:rPr>
        <w:t xml:space="preserve"> the basis of</w:t>
      </w:r>
      <w:r w:rsidRPr="002E7A81">
        <w:rPr>
          <w:rFonts w:ascii="Arial" w:hAnsi="Arial" w:cs="Arial"/>
        </w:rPr>
        <w:t xml:space="preserve"> </w:t>
      </w:r>
      <w:r w:rsidRPr="002E7A81">
        <w:rPr>
          <w:rFonts w:ascii="Arial" w:hAnsi="Arial" w:cs="Arial"/>
          <w:i/>
        </w:rPr>
        <w:t>“</w:t>
      </w:r>
      <w:r w:rsidRPr="002E7A81">
        <w:rPr>
          <w:rFonts w:ascii="Arial" w:hAnsi="Arial" w:cs="Arial"/>
          <w:i/>
          <w:iCs/>
          <w:szCs w:val="24"/>
          <w:lang w:val="en-US" w:eastAsia="ar-SA"/>
        </w:rPr>
        <w:t>Our Kempley Community-led Plan”</w:t>
      </w:r>
      <w:r w:rsidRPr="002E7A81">
        <w:rPr>
          <w:rFonts w:ascii="Arial" w:hAnsi="Arial" w:cs="Arial"/>
          <w:i/>
          <w:szCs w:val="24"/>
          <w:lang w:val="en-US" w:eastAsia="ar-SA"/>
        </w:rPr>
        <w:t xml:space="preserve">, September 2017, </w:t>
      </w:r>
      <w:r w:rsidRPr="002E7A81">
        <w:rPr>
          <w:rFonts w:ascii="Arial" w:hAnsi="Arial" w:cs="Arial"/>
          <w:szCs w:val="24"/>
          <w:lang w:val="en-US" w:eastAsia="ar-SA"/>
        </w:rPr>
        <w:t>setting</w:t>
      </w:r>
      <w:r w:rsidRPr="002E7A81">
        <w:rPr>
          <w:rFonts w:ascii="Arial" w:hAnsi="Arial" w:cs="Arial"/>
          <w:i/>
          <w:szCs w:val="24"/>
          <w:lang w:val="en-US" w:eastAsia="ar-SA"/>
        </w:rPr>
        <w:t xml:space="preserve"> </w:t>
      </w:r>
      <w:r w:rsidRPr="002E7A81">
        <w:rPr>
          <w:rFonts w:ascii="Arial" w:hAnsi="Arial" w:cs="Arial"/>
          <w:szCs w:val="24"/>
          <w:lang w:val="en-US" w:eastAsia="ar-SA"/>
        </w:rPr>
        <w:t>out a vision for the future of the village.</w:t>
      </w:r>
    </w:p>
    <w:p w14:paraId="14E48099" w14:textId="77777777" w:rsidR="00EA19DA" w:rsidRPr="002E7A81" w:rsidRDefault="00F2109F" w:rsidP="009B7D8B">
      <w:pPr>
        <w:pStyle w:val="BodyText"/>
        <w:spacing w:before="120" w:after="120" w:line="240" w:lineRule="auto"/>
        <w:rPr>
          <w:rFonts w:ascii="Arial" w:hAnsi="Arial" w:cs="Arial"/>
        </w:rPr>
      </w:pPr>
      <w:r w:rsidRPr="002E7A81">
        <w:rPr>
          <w:rFonts w:ascii="Arial" w:hAnsi="Arial" w:cs="Arial"/>
        </w:rPr>
        <w:t xml:space="preserve">The </w:t>
      </w:r>
      <w:r w:rsidR="006A1734" w:rsidRPr="002E7A81">
        <w:rPr>
          <w:rFonts w:ascii="Arial" w:hAnsi="Arial" w:cs="Arial"/>
        </w:rPr>
        <w:t xml:space="preserve">full </w:t>
      </w:r>
      <w:r w:rsidRPr="002E7A81">
        <w:rPr>
          <w:rFonts w:ascii="Arial" w:hAnsi="Arial" w:cs="Arial"/>
        </w:rPr>
        <w:t xml:space="preserve">CLP </w:t>
      </w:r>
      <w:r w:rsidR="006A1734" w:rsidRPr="002E7A81">
        <w:rPr>
          <w:rFonts w:ascii="Arial" w:hAnsi="Arial" w:cs="Arial"/>
        </w:rPr>
        <w:t>is available on the Council website</w:t>
      </w:r>
      <w:r w:rsidR="00660A44" w:rsidRPr="002E7A81">
        <w:rPr>
          <w:rFonts w:ascii="Arial" w:hAnsi="Arial" w:cs="Arial"/>
        </w:rPr>
        <w:t xml:space="preserve"> </w:t>
      </w:r>
      <w:hyperlink r:id="rId10" w:history="1">
        <w:r w:rsidR="00660A44" w:rsidRPr="002E7A81">
          <w:rPr>
            <w:rStyle w:val="Hyperlink"/>
            <w:rFonts w:ascii="Arial" w:hAnsi="Arial" w:cs="Arial"/>
            <w:color w:val="auto"/>
          </w:rPr>
          <w:t>www.kempleyparishcouncil.org</w:t>
        </w:r>
      </w:hyperlink>
      <w:r w:rsidR="00660A44" w:rsidRPr="002E7A81">
        <w:rPr>
          <w:rFonts w:ascii="Arial" w:hAnsi="Arial" w:cs="Arial"/>
        </w:rPr>
        <w:t xml:space="preserve">. </w:t>
      </w:r>
      <w:r w:rsidR="006A1734" w:rsidRPr="002E7A81">
        <w:rPr>
          <w:rFonts w:ascii="Arial" w:hAnsi="Arial" w:cs="Arial"/>
        </w:rPr>
        <w:t>I</w:t>
      </w:r>
      <w:r w:rsidR="00C66B21" w:rsidRPr="002E7A81">
        <w:rPr>
          <w:rFonts w:ascii="Arial" w:hAnsi="Arial" w:cs="Arial"/>
        </w:rPr>
        <w:t>mportant extracts from it are</w:t>
      </w:r>
      <w:r w:rsidRPr="002E7A81">
        <w:rPr>
          <w:rFonts w:ascii="Arial" w:hAnsi="Arial" w:cs="Arial"/>
        </w:rPr>
        <w:t>:</w:t>
      </w:r>
    </w:p>
    <w:bookmarkEnd w:id="0"/>
    <w:p w14:paraId="1D26342B" w14:textId="77777777" w:rsidR="00814F8F" w:rsidRPr="002E7A81" w:rsidRDefault="00814F8F" w:rsidP="00E26304">
      <w:pPr>
        <w:pStyle w:val="ListParagraph"/>
        <w:numPr>
          <w:ilvl w:val="0"/>
          <w:numId w:val="10"/>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t>The Forest of Dean District Council (FoDDC)</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Allocations Plan (2015) features Kempley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Green as a distinct area of consolidation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within the dispersed rural area of Kempley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as a whole. FoDDC has defined a Designated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Settlement Boundary (DSB) as shown on the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map. Kempley Green, as a defined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settlement, has a population of approximately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108 in around 40 houses. The village is</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considered to be almost fully developed within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the DSB with only one or two tiny areas still</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appropriate for infill development. The key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issue stated in the Allocations Plan (2015) is</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to “protect the surrounding countryside from</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inappropriate development” and it is proposed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that “the plan will continue a tight control on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further development”.</w:t>
      </w:r>
    </w:p>
    <w:p w14:paraId="5DAC0D24"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2C810EC6" w14:textId="5D0C0417" w:rsidR="00B158CD" w:rsidRPr="0043647B" w:rsidRDefault="007F3533"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43647B">
        <w:rPr>
          <w:rFonts w:ascii="Arial" w:hAnsi="Arial" w:cs="Arial"/>
          <w:i/>
          <w:szCs w:val="24"/>
          <w:lang w:val="en-US" w:eastAsia="ar-SA"/>
        </w:rPr>
        <w:t>With that background, combined with</w:t>
      </w:r>
      <w:r w:rsidR="00B00057" w:rsidRPr="0043647B">
        <w:rPr>
          <w:rFonts w:ascii="Arial" w:hAnsi="Arial" w:cs="Arial"/>
          <w:i/>
          <w:szCs w:val="24"/>
          <w:lang w:val="en-US" w:eastAsia="ar-SA"/>
        </w:rPr>
        <w:t xml:space="preserve"> </w:t>
      </w:r>
      <w:r w:rsidRPr="004D30FC">
        <w:rPr>
          <w:rFonts w:ascii="Arial" w:hAnsi="Arial" w:cs="Arial"/>
          <w:i/>
          <w:szCs w:val="24"/>
          <w:lang w:val="en-US" w:eastAsia="ar-SA"/>
        </w:rPr>
        <w:t>a number of comments from villagers, it is</w:t>
      </w:r>
      <w:r w:rsidR="00B00057" w:rsidRPr="004D30FC">
        <w:rPr>
          <w:rFonts w:ascii="Arial" w:hAnsi="Arial" w:cs="Arial"/>
          <w:i/>
          <w:szCs w:val="24"/>
          <w:lang w:val="en-US" w:eastAsia="ar-SA"/>
        </w:rPr>
        <w:t xml:space="preserve"> </w:t>
      </w:r>
      <w:r w:rsidRPr="00930673">
        <w:rPr>
          <w:rFonts w:ascii="Arial" w:hAnsi="Arial" w:cs="Arial"/>
          <w:i/>
          <w:szCs w:val="24"/>
          <w:lang w:val="en-US" w:eastAsia="ar-SA"/>
        </w:rPr>
        <w:t>clear that any</w:t>
      </w:r>
      <w:r w:rsidR="0043647B" w:rsidRPr="00F71BA2">
        <w:rPr>
          <w:rFonts w:ascii="Arial" w:hAnsi="Arial" w:cs="Arial"/>
          <w:i/>
          <w:szCs w:val="24"/>
          <w:lang w:val="en-US" w:eastAsia="ar-SA"/>
        </w:rPr>
        <w:t xml:space="preserve"> new</w:t>
      </w:r>
      <w:r w:rsidRPr="0043647B">
        <w:rPr>
          <w:rFonts w:ascii="Arial" w:hAnsi="Arial" w:cs="Arial"/>
          <w:i/>
          <w:szCs w:val="24"/>
          <w:lang w:val="en-US" w:eastAsia="ar-SA"/>
        </w:rPr>
        <w:t xml:space="preserve"> </w:t>
      </w:r>
      <w:r w:rsidR="0043647B">
        <w:rPr>
          <w:rFonts w:ascii="Arial" w:hAnsi="Arial" w:cs="Arial"/>
          <w:i/>
          <w:szCs w:val="24"/>
          <w:lang w:val="en-US" w:eastAsia="ar-SA"/>
        </w:rPr>
        <w:t>installation or property proposed</w:t>
      </w:r>
      <w:r w:rsidRPr="0043647B">
        <w:rPr>
          <w:rFonts w:ascii="Arial" w:hAnsi="Arial" w:cs="Arial"/>
          <w:i/>
          <w:szCs w:val="24"/>
          <w:lang w:val="en-US" w:eastAsia="ar-SA"/>
        </w:rPr>
        <w:t xml:space="preserve"> within the DSB</w:t>
      </w:r>
      <w:r w:rsidR="00B00057" w:rsidRPr="0043647B">
        <w:rPr>
          <w:rFonts w:ascii="Arial" w:hAnsi="Arial" w:cs="Arial"/>
          <w:i/>
          <w:szCs w:val="24"/>
          <w:lang w:val="en-US" w:eastAsia="ar-SA"/>
        </w:rPr>
        <w:t xml:space="preserve"> </w:t>
      </w:r>
      <w:r w:rsidRPr="0043647B">
        <w:rPr>
          <w:rFonts w:ascii="Arial" w:hAnsi="Arial" w:cs="Arial"/>
          <w:i/>
          <w:szCs w:val="24"/>
          <w:lang w:val="en-US" w:eastAsia="ar-SA"/>
        </w:rPr>
        <w:t>and, indeed, outside of this but within the</w:t>
      </w:r>
      <w:r w:rsidR="00B00057" w:rsidRPr="0043647B">
        <w:rPr>
          <w:rFonts w:ascii="Arial" w:hAnsi="Arial" w:cs="Arial"/>
          <w:i/>
          <w:szCs w:val="24"/>
          <w:lang w:val="en-US" w:eastAsia="ar-SA"/>
        </w:rPr>
        <w:t xml:space="preserve"> </w:t>
      </w:r>
      <w:r w:rsidRPr="0043647B">
        <w:rPr>
          <w:rFonts w:ascii="Arial" w:hAnsi="Arial" w:cs="Arial"/>
          <w:i/>
          <w:szCs w:val="24"/>
          <w:lang w:val="en-US" w:eastAsia="ar-SA"/>
        </w:rPr>
        <w:t>village as a whole will be contentious.</w:t>
      </w:r>
    </w:p>
    <w:p w14:paraId="6E207C99"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6F58DC09" w14:textId="77777777"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The questionnaire asked whether residents</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would be in favour of development within the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DSB and 50% confirmed that they would albeit</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with some qualifications on design on a case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by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case basis. 88% of respondents were in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favour of renewal / redevelopment of existing</w:t>
      </w:r>
      <w:r w:rsidR="00EA19DA" w:rsidRPr="002E7A81">
        <w:rPr>
          <w:rFonts w:ascii="Arial" w:hAnsi="Arial" w:cs="Arial"/>
          <w:i/>
          <w:szCs w:val="24"/>
          <w:lang w:val="en-US" w:eastAsia="ar-SA"/>
        </w:rPr>
        <w:t xml:space="preserve"> </w:t>
      </w:r>
      <w:r w:rsidRPr="002E7A81">
        <w:rPr>
          <w:rFonts w:ascii="Arial" w:hAnsi="Arial" w:cs="Arial"/>
          <w:i/>
          <w:szCs w:val="24"/>
          <w:lang w:val="en-US" w:eastAsia="ar-SA"/>
        </w:rPr>
        <w:t>dwellings, again on a case by case basis.</w:t>
      </w:r>
    </w:p>
    <w:p w14:paraId="3EFE392F"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39E499EA" w14:textId="77777777"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At the meeting there was hot debate on the</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potential of development outside of the DSB</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and comments received then and since typify</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the fierce sense of protection villagers feel</w:t>
      </w:r>
      <w:r w:rsidR="008302A5" w:rsidRPr="002E7A81">
        <w:rPr>
          <w:rFonts w:ascii="Arial" w:hAnsi="Arial" w:cs="Arial"/>
          <w:i/>
          <w:szCs w:val="24"/>
          <w:lang w:val="en-US" w:eastAsia="ar-SA"/>
        </w:rPr>
        <w:t xml:space="preserve"> </w:t>
      </w:r>
      <w:r w:rsidR="003F6E7A" w:rsidRPr="002E7A81">
        <w:rPr>
          <w:rFonts w:ascii="Arial" w:hAnsi="Arial" w:cs="Arial"/>
          <w:i/>
          <w:szCs w:val="24"/>
          <w:lang w:val="en-US" w:eastAsia="ar-SA"/>
        </w:rPr>
        <w:t>about the locality, and</w:t>
      </w:r>
    </w:p>
    <w:p w14:paraId="11F177AF" w14:textId="77777777" w:rsidR="003F6E7A" w:rsidRPr="002E7A81" w:rsidRDefault="003F6E7A" w:rsidP="003F6E7A">
      <w:pPr>
        <w:pStyle w:val="ListParagraph"/>
        <w:autoSpaceDE w:val="0"/>
        <w:autoSpaceDN w:val="0"/>
        <w:adjustRightInd w:val="0"/>
        <w:ind w:left="567"/>
        <w:jc w:val="both"/>
        <w:rPr>
          <w:rFonts w:ascii="Arial" w:hAnsi="Arial" w:cs="Arial"/>
          <w:i/>
          <w:szCs w:val="24"/>
          <w:lang w:val="en-US" w:eastAsia="ar-SA"/>
        </w:rPr>
      </w:pPr>
    </w:p>
    <w:p w14:paraId="77892799" w14:textId="77777777"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On a practical note, the majority of</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respondents would be interested in receiving</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alerts to new planning notices either via a</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village website or by email. This could enable</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villagers to submit their own comments to</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 xml:space="preserve">FoDDC within the usual tight </w:t>
      </w:r>
      <w:r w:rsidR="00E94A8B">
        <w:rPr>
          <w:rFonts w:ascii="Arial" w:hAnsi="Arial" w:cs="Arial"/>
          <w:i/>
          <w:szCs w:val="24"/>
          <w:lang w:val="en-US" w:eastAsia="ar-SA"/>
        </w:rPr>
        <w:t>response</w:t>
      </w:r>
      <w:r w:rsidRPr="002E7A81">
        <w:rPr>
          <w:rFonts w:ascii="Arial" w:hAnsi="Arial" w:cs="Arial"/>
          <w:i/>
          <w:szCs w:val="24"/>
          <w:lang w:val="en-US" w:eastAsia="ar-SA"/>
        </w:rPr>
        <w:t>s.</w:t>
      </w:r>
    </w:p>
    <w:p w14:paraId="63C10D2B" w14:textId="77777777" w:rsidR="003816F6" w:rsidRPr="002E7A81" w:rsidRDefault="003816F6" w:rsidP="003816F6">
      <w:pPr>
        <w:pStyle w:val="ListParagraph"/>
        <w:autoSpaceDE w:val="0"/>
        <w:autoSpaceDN w:val="0"/>
        <w:adjustRightInd w:val="0"/>
        <w:ind w:left="567"/>
        <w:jc w:val="both"/>
        <w:rPr>
          <w:rFonts w:ascii="Arial" w:hAnsi="Arial" w:cs="Arial"/>
          <w:i/>
          <w:szCs w:val="24"/>
          <w:lang w:val="en-US" w:eastAsia="ar-SA"/>
        </w:rPr>
      </w:pPr>
    </w:p>
    <w:p w14:paraId="00231CBE" w14:textId="77777777" w:rsidR="00FF1706" w:rsidRPr="002E7A81" w:rsidRDefault="00FF1706" w:rsidP="00FF1706">
      <w:pPr>
        <w:pStyle w:val="ListParagraph"/>
        <w:autoSpaceDE w:val="0"/>
        <w:autoSpaceDN w:val="0"/>
        <w:adjustRightInd w:val="0"/>
        <w:ind w:left="567"/>
        <w:jc w:val="both"/>
        <w:rPr>
          <w:rFonts w:ascii="Arial" w:hAnsi="Arial" w:cs="Arial"/>
          <w:i/>
          <w:szCs w:val="24"/>
          <w:lang w:val="en-US" w:eastAsia="ar-SA"/>
        </w:rPr>
      </w:pPr>
    </w:p>
    <w:p w14:paraId="5E124AA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r w:rsidRPr="002E7A81">
        <w:rPr>
          <w:rFonts w:ascii="Arial" w:hAnsi="Arial" w:cs="Arial"/>
          <w:noProof/>
          <w:szCs w:val="24"/>
          <w:lang w:eastAsia="en-GB"/>
        </w:rPr>
        <w:drawing>
          <wp:anchor distT="0" distB="0" distL="114300" distR="114300" simplePos="0" relativeHeight="251659264" behindDoc="0" locked="0" layoutInCell="1" allowOverlap="1" wp14:anchorId="21C048FE" wp14:editId="68BD00BA">
            <wp:simplePos x="0" y="0"/>
            <wp:positionH relativeFrom="column">
              <wp:posOffset>2933700</wp:posOffset>
            </wp:positionH>
            <wp:positionV relativeFrom="paragraph">
              <wp:posOffset>55880</wp:posOffset>
            </wp:positionV>
            <wp:extent cx="2860675" cy="3723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63018"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r w:rsidRPr="002E7A81">
        <w:rPr>
          <w:rFonts w:ascii="Arial" w:hAnsi="Arial" w:cs="Arial"/>
          <w:noProof/>
          <w:szCs w:val="24"/>
          <w:lang w:eastAsia="en-GB"/>
        </w:rPr>
        <w:drawing>
          <wp:anchor distT="0" distB="0" distL="114300" distR="114300" simplePos="0" relativeHeight="251658240" behindDoc="0" locked="0" layoutInCell="1" allowOverlap="1" wp14:anchorId="35D1D236" wp14:editId="4D7A3802">
            <wp:simplePos x="0" y="0"/>
            <wp:positionH relativeFrom="column">
              <wp:posOffset>10795</wp:posOffset>
            </wp:positionH>
            <wp:positionV relativeFrom="paragraph">
              <wp:posOffset>4445</wp:posOffset>
            </wp:positionV>
            <wp:extent cx="2839085" cy="326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9085" cy="326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011FE"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32EE7C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97DD6F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3BABB0BF"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4A8570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91F272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B2E79F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10A7877"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59BC1E6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20E67570"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4340960"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B5890DA"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2FB9C108"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42F0E7A"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C4B052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510C6A4"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6FA13A8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74F025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D18BCF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915F38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6A2D14F4" w14:textId="77777777" w:rsidR="004D1118" w:rsidRPr="002E7A81" w:rsidRDefault="004D1118" w:rsidP="00814F8F">
      <w:pPr>
        <w:jc w:val="both"/>
        <w:rPr>
          <w:rFonts w:ascii="Arial" w:hAnsi="Arial" w:cs="Arial"/>
          <w:b/>
          <w:szCs w:val="24"/>
          <w:lang w:val="en-US" w:eastAsia="ar-SA"/>
        </w:rPr>
      </w:pPr>
      <w:r w:rsidRPr="002E7A81">
        <w:rPr>
          <w:rFonts w:ascii="Arial" w:hAnsi="Arial" w:cs="Arial"/>
          <w:b/>
          <w:szCs w:val="24"/>
          <w:lang w:val="en-US" w:eastAsia="ar-SA"/>
        </w:rPr>
        <w:t>Designated Settlement Boundary</w:t>
      </w:r>
      <w:r w:rsidR="007024C9" w:rsidRPr="002E7A81">
        <w:rPr>
          <w:rFonts w:ascii="Arial" w:hAnsi="Arial" w:cs="Arial"/>
          <w:b/>
          <w:szCs w:val="24"/>
          <w:lang w:val="en-US" w:eastAsia="ar-SA"/>
        </w:rPr>
        <w:t xml:space="preserve">          </w:t>
      </w:r>
      <w:r w:rsidR="00AB5C6E" w:rsidRPr="002E7A81">
        <w:rPr>
          <w:rFonts w:ascii="Arial" w:hAnsi="Arial" w:cs="Arial"/>
          <w:b/>
          <w:szCs w:val="24"/>
          <w:lang w:val="en-US" w:eastAsia="ar-SA"/>
        </w:rPr>
        <w:t xml:space="preserve">   </w:t>
      </w:r>
      <w:r w:rsidR="007024C9" w:rsidRPr="002E7A81">
        <w:rPr>
          <w:rFonts w:ascii="Arial" w:hAnsi="Arial" w:cs="Arial"/>
          <w:b/>
          <w:szCs w:val="24"/>
          <w:lang w:val="en-US" w:eastAsia="ar-SA"/>
        </w:rPr>
        <w:t>The Parish Boundary</w:t>
      </w:r>
    </w:p>
    <w:p w14:paraId="5E89BF56" w14:textId="77777777" w:rsidR="007024C9" w:rsidRPr="002E7A81" w:rsidRDefault="004D1118" w:rsidP="007024C9">
      <w:pPr>
        <w:autoSpaceDE w:val="0"/>
        <w:autoSpaceDN w:val="0"/>
        <w:adjustRightInd w:val="0"/>
        <w:rPr>
          <w:rFonts w:ascii="Arial" w:hAnsi="Arial" w:cs="Arial"/>
          <w:sz w:val="18"/>
          <w:szCs w:val="18"/>
          <w:lang w:eastAsia="en-GB"/>
        </w:rPr>
      </w:pPr>
      <w:r w:rsidRPr="002E7A81">
        <w:rPr>
          <w:rFonts w:ascii="Arial" w:hAnsi="Arial" w:cs="Arial"/>
          <w:b/>
          <w:szCs w:val="24"/>
          <w:lang w:val="en-US" w:eastAsia="ar-SA"/>
        </w:rPr>
        <w:t xml:space="preserve">© </w:t>
      </w:r>
      <w:r w:rsidRPr="002E7A81">
        <w:rPr>
          <w:rFonts w:ascii="Arial" w:hAnsi="Arial" w:cs="Arial"/>
          <w:sz w:val="18"/>
          <w:szCs w:val="18"/>
          <w:lang w:eastAsia="en-GB"/>
        </w:rPr>
        <w:t>Crown Copyright and database rights 2015.</w:t>
      </w:r>
      <w:r w:rsidR="007024C9" w:rsidRPr="002E7A81">
        <w:rPr>
          <w:rFonts w:ascii="Arial" w:hAnsi="Arial" w:cs="Arial"/>
          <w:sz w:val="18"/>
          <w:szCs w:val="18"/>
          <w:lang w:eastAsia="en-GB"/>
        </w:rPr>
        <w:tab/>
      </w:r>
      <w:r w:rsidR="009B7D8B" w:rsidRPr="002E7A81">
        <w:rPr>
          <w:rFonts w:ascii="Arial" w:hAnsi="Arial" w:cs="Arial"/>
          <w:sz w:val="18"/>
          <w:szCs w:val="18"/>
          <w:lang w:eastAsia="en-GB"/>
        </w:rPr>
        <w:t xml:space="preserve">  </w:t>
      </w:r>
      <w:r w:rsidR="00AB5C6E" w:rsidRPr="002E7A81">
        <w:rPr>
          <w:rFonts w:ascii="Arial" w:hAnsi="Arial" w:cs="Arial"/>
          <w:sz w:val="18"/>
          <w:szCs w:val="18"/>
          <w:lang w:eastAsia="en-GB"/>
        </w:rPr>
        <w:t xml:space="preserve">    </w:t>
      </w:r>
      <w:r w:rsidR="009B7D8B" w:rsidRPr="002E7A81">
        <w:rPr>
          <w:rFonts w:ascii="Arial" w:hAnsi="Arial" w:cs="Arial"/>
          <w:sz w:val="18"/>
          <w:szCs w:val="18"/>
          <w:lang w:eastAsia="en-GB"/>
        </w:rPr>
        <w:t xml:space="preserve"> </w:t>
      </w:r>
      <w:r w:rsidR="007024C9" w:rsidRPr="002E7A81">
        <w:rPr>
          <w:rFonts w:ascii="Arial" w:hAnsi="Arial" w:cs="Arial"/>
          <w:sz w:val="18"/>
          <w:szCs w:val="18"/>
          <w:lang w:eastAsia="en-GB"/>
        </w:rPr>
        <w:t>© Crown Copyrig</w:t>
      </w:r>
      <w:r w:rsidR="009B7D8B" w:rsidRPr="002E7A81">
        <w:rPr>
          <w:rFonts w:ascii="Arial" w:hAnsi="Arial" w:cs="Arial"/>
          <w:sz w:val="18"/>
          <w:szCs w:val="18"/>
          <w:lang w:eastAsia="en-GB"/>
        </w:rPr>
        <w:t xml:space="preserve">ht and database right 2013. </w:t>
      </w:r>
    </w:p>
    <w:p w14:paraId="657E3941" w14:textId="77777777" w:rsidR="009B7D8B" w:rsidRPr="002E7A81" w:rsidRDefault="004D1118" w:rsidP="009B7D8B">
      <w:pPr>
        <w:autoSpaceDE w:val="0"/>
        <w:autoSpaceDN w:val="0"/>
        <w:adjustRightInd w:val="0"/>
        <w:rPr>
          <w:rFonts w:ascii="Arial" w:hAnsi="Arial" w:cs="Arial"/>
          <w:sz w:val="18"/>
          <w:szCs w:val="18"/>
          <w:lang w:eastAsia="en-GB"/>
        </w:rPr>
      </w:pPr>
      <w:r w:rsidRPr="002E7A81">
        <w:rPr>
          <w:rFonts w:ascii="Arial" w:hAnsi="Arial" w:cs="Arial"/>
          <w:sz w:val="18"/>
          <w:szCs w:val="18"/>
          <w:lang w:eastAsia="en-GB"/>
        </w:rPr>
        <w:t xml:space="preserve">Ordnance Survey </w:t>
      </w:r>
      <w:r w:rsidR="009B7D8B" w:rsidRPr="002E7A81">
        <w:rPr>
          <w:rFonts w:ascii="Arial" w:hAnsi="Arial" w:cs="Arial"/>
          <w:sz w:val="18"/>
          <w:szCs w:val="18"/>
          <w:lang w:eastAsia="en-GB"/>
        </w:rPr>
        <w:t xml:space="preserve">Licence number </w:t>
      </w:r>
      <w:r w:rsidRPr="002E7A81">
        <w:rPr>
          <w:rFonts w:ascii="Arial" w:hAnsi="Arial" w:cs="Arial"/>
          <w:sz w:val="18"/>
          <w:szCs w:val="18"/>
          <w:lang w:eastAsia="en-GB"/>
        </w:rPr>
        <w:t>100019102</w:t>
      </w:r>
      <w:r w:rsidR="009B7D8B" w:rsidRPr="002E7A81">
        <w:rPr>
          <w:rFonts w:ascii="Arial" w:hAnsi="Arial" w:cs="Arial"/>
          <w:sz w:val="18"/>
          <w:szCs w:val="18"/>
          <w:lang w:eastAsia="en-GB"/>
        </w:rPr>
        <w:tab/>
        <w:t xml:space="preserve">  </w:t>
      </w:r>
      <w:r w:rsidR="00AB5C6E" w:rsidRPr="002E7A81">
        <w:rPr>
          <w:rFonts w:ascii="Arial" w:hAnsi="Arial" w:cs="Arial"/>
          <w:sz w:val="18"/>
          <w:szCs w:val="18"/>
          <w:lang w:eastAsia="en-GB"/>
        </w:rPr>
        <w:t xml:space="preserve">    </w:t>
      </w:r>
      <w:r w:rsidR="009B7D8B" w:rsidRPr="002E7A81">
        <w:rPr>
          <w:rFonts w:ascii="Arial" w:hAnsi="Arial" w:cs="Arial"/>
          <w:sz w:val="18"/>
          <w:szCs w:val="18"/>
          <w:lang w:eastAsia="en-GB"/>
        </w:rPr>
        <w:t xml:space="preserve"> Ordnance Survey Licence number 100022861</w:t>
      </w:r>
    </w:p>
    <w:p w14:paraId="36676BD9" w14:textId="77777777" w:rsidR="004D1118" w:rsidRPr="002E7A81" w:rsidRDefault="004D1118" w:rsidP="004D1118">
      <w:pPr>
        <w:jc w:val="both"/>
        <w:rPr>
          <w:rFonts w:ascii="Arial" w:hAnsi="Arial" w:cs="Arial"/>
          <w:b/>
          <w:sz w:val="18"/>
          <w:szCs w:val="18"/>
          <w:lang w:val="en-US" w:eastAsia="ar-SA"/>
        </w:rPr>
      </w:pPr>
    </w:p>
    <w:p w14:paraId="38A139A0" w14:textId="77777777" w:rsidR="00E133E4" w:rsidRPr="002E7A81" w:rsidRDefault="00E133E4">
      <w:pPr>
        <w:rPr>
          <w:rFonts w:ascii="Arial" w:hAnsi="Arial" w:cs="Arial"/>
          <w:i/>
          <w:szCs w:val="24"/>
          <w:lang w:val="en-US" w:eastAsia="ar-SA"/>
        </w:rPr>
      </w:pPr>
      <w:r w:rsidRPr="002E7A81">
        <w:rPr>
          <w:rFonts w:ascii="Arial" w:hAnsi="Arial" w:cs="Arial"/>
          <w:i/>
          <w:szCs w:val="24"/>
          <w:lang w:val="en-US" w:eastAsia="ar-SA"/>
        </w:rPr>
        <w:br w:type="page"/>
      </w:r>
    </w:p>
    <w:p w14:paraId="1C2C8824" w14:textId="77777777" w:rsidR="00FF1706" w:rsidRPr="002E7A81" w:rsidRDefault="00FF1706" w:rsidP="00FF1706">
      <w:pPr>
        <w:pStyle w:val="ListParagraph"/>
        <w:numPr>
          <w:ilvl w:val="0"/>
          <w:numId w:val="19"/>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t>The housing is mostly strung along two miles of unlit road running through the village with a smaller concentration of houses at Fishpool.  A particular attribute of Kempley Green is the way that the characteristics of a hedged country lane are carried through the Kempley Green settlement with green hedging forming boundaries to village gardens.</w:t>
      </w:r>
    </w:p>
    <w:p w14:paraId="736F9ED2" w14:textId="77777777" w:rsidR="00FF1706" w:rsidRPr="002E7A81" w:rsidRDefault="00FF1706" w:rsidP="00FF1706">
      <w:pPr>
        <w:pStyle w:val="ListParagraph"/>
        <w:numPr>
          <w:ilvl w:val="0"/>
          <w:numId w:val="19"/>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t>The unlit road is important to people. As one villager mentioned at our annual meeting in 2016 “we love living here and proudly tell other people that there are no street lights and we can see the stars”. This sentiment is supported by 91% of the respondents to the village questionnaire stating that the dark skies were important or very important to them.</w:t>
      </w:r>
    </w:p>
    <w:p w14:paraId="1C2CE503" w14:textId="77777777" w:rsidR="00C3469F" w:rsidRPr="002E7A81" w:rsidRDefault="00C3469F"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The Council’s Procedure under this Policy:</w:t>
      </w:r>
    </w:p>
    <w:p w14:paraId="015A6E59" w14:textId="77777777" w:rsidR="00C3469F" w:rsidRPr="002E7A81" w:rsidRDefault="00C87CE1" w:rsidP="00F46CD3">
      <w:pPr>
        <w:jc w:val="both"/>
        <w:rPr>
          <w:rFonts w:ascii="Arial" w:hAnsi="Arial" w:cs="Arial"/>
          <w:szCs w:val="24"/>
          <w:lang w:val="en-US" w:eastAsia="ar-SA"/>
        </w:rPr>
      </w:pPr>
      <w:r w:rsidRPr="002E7A81">
        <w:rPr>
          <w:rFonts w:ascii="Arial" w:hAnsi="Arial" w:cs="Arial"/>
          <w:szCs w:val="24"/>
          <w:lang w:val="en-US" w:eastAsia="ar-SA"/>
        </w:rPr>
        <w:t>The Council will normally seek to:</w:t>
      </w:r>
    </w:p>
    <w:p w14:paraId="05480009" w14:textId="77777777" w:rsidR="00BB1F4D" w:rsidRPr="00E23E7B" w:rsidRDefault="00BB1F4D"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Assess</w:t>
      </w:r>
      <w:r w:rsidR="00812D49"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by </w:t>
      </w:r>
      <w:r w:rsidR="00B13CFE" w:rsidRPr="00E23E7B">
        <w:rPr>
          <w:rFonts w:ascii="Arial" w:hAnsi="Arial" w:cs="Arial"/>
          <w:color w:val="000000" w:themeColor="text1"/>
          <w:szCs w:val="24"/>
          <w:lang w:val="en-US" w:eastAsia="ar-SA"/>
        </w:rPr>
        <w:t xml:space="preserve">obtaining the </w:t>
      </w:r>
      <w:r w:rsidRPr="00E23E7B">
        <w:rPr>
          <w:rFonts w:ascii="Arial" w:hAnsi="Arial" w:cs="Arial"/>
          <w:color w:val="000000" w:themeColor="text1"/>
          <w:szCs w:val="24"/>
          <w:lang w:val="en-US" w:eastAsia="ar-SA"/>
        </w:rPr>
        <w:t>initial opinion of council</w:t>
      </w:r>
      <w:r w:rsidR="001F2181" w:rsidRPr="00E23E7B">
        <w:rPr>
          <w:rFonts w:ascii="Arial" w:hAnsi="Arial" w:cs="Arial"/>
          <w:color w:val="000000" w:themeColor="text1"/>
          <w:szCs w:val="24"/>
          <w:lang w:val="en-US" w:eastAsia="ar-SA"/>
        </w:rPr>
        <w:t>l</w:t>
      </w:r>
      <w:r w:rsidRPr="00E23E7B">
        <w:rPr>
          <w:rFonts w:ascii="Arial" w:hAnsi="Arial" w:cs="Arial"/>
          <w:color w:val="000000" w:themeColor="text1"/>
          <w:szCs w:val="24"/>
          <w:lang w:val="en-US" w:eastAsia="ar-SA"/>
        </w:rPr>
        <w:t>ors</w:t>
      </w:r>
      <w:r w:rsidR="00812D49"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whether an application </w:t>
      </w:r>
      <w:r w:rsidR="00812D49" w:rsidRPr="00E23E7B">
        <w:rPr>
          <w:rFonts w:ascii="Arial" w:hAnsi="Arial" w:cs="Arial"/>
          <w:color w:val="000000" w:themeColor="text1"/>
          <w:szCs w:val="24"/>
          <w:lang w:val="en-US" w:eastAsia="ar-SA"/>
        </w:rPr>
        <w:t xml:space="preserve">notified to the Council </w:t>
      </w:r>
      <w:r w:rsidRPr="00E23E7B">
        <w:rPr>
          <w:rFonts w:ascii="Arial" w:hAnsi="Arial" w:cs="Arial"/>
          <w:color w:val="000000" w:themeColor="text1"/>
          <w:szCs w:val="24"/>
          <w:lang w:val="en-US" w:eastAsia="ar-SA"/>
        </w:rPr>
        <w:t xml:space="preserve">is either </w:t>
      </w:r>
      <w:r w:rsidR="00B13CFE" w:rsidRPr="00E23E7B">
        <w:rPr>
          <w:rFonts w:ascii="Arial" w:hAnsi="Arial" w:cs="Arial"/>
          <w:b/>
          <w:color w:val="000000" w:themeColor="text1"/>
          <w:szCs w:val="24"/>
          <w:lang w:val="en-US" w:eastAsia="ar-SA"/>
        </w:rPr>
        <w:t>Low Impact</w:t>
      </w:r>
      <w:r w:rsidR="00B13CFE" w:rsidRPr="00E23E7B">
        <w:rPr>
          <w:rFonts w:ascii="Arial Bold" w:hAnsi="Arial Bold" w:cs="Arial"/>
          <w:b/>
          <w:color w:val="000000" w:themeColor="text1"/>
          <w:szCs w:val="24"/>
          <w:vertAlign w:val="superscript"/>
          <w:lang w:val="en-US" w:eastAsia="ar-SA"/>
        </w:rPr>
        <w:t>†</w:t>
      </w:r>
      <w:r w:rsidR="00B13CFE" w:rsidRPr="00E23E7B">
        <w:rPr>
          <w:rFonts w:ascii="Arial" w:hAnsi="Arial" w:cs="Arial"/>
          <w:color w:val="000000" w:themeColor="text1"/>
          <w:szCs w:val="24"/>
          <w:lang w:val="en-US" w:eastAsia="ar-SA"/>
        </w:rPr>
        <w:t xml:space="preserve"> or </w:t>
      </w:r>
      <w:r w:rsidR="00B13CFE" w:rsidRPr="00E23E7B">
        <w:rPr>
          <w:rFonts w:ascii="Arial" w:hAnsi="Arial" w:cs="Arial"/>
          <w:b/>
          <w:color w:val="000000" w:themeColor="text1"/>
          <w:szCs w:val="24"/>
          <w:lang w:val="en-US" w:eastAsia="ar-SA"/>
        </w:rPr>
        <w:t>High Impact</w:t>
      </w:r>
      <w:r w:rsidR="00B13CFE" w:rsidRPr="00E23E7B">
        <w:rPr>
          <w:rFonts w:ascii="Arial" w:hAnsi="Arial" w:cs="Arial"/>
          <w:b/>
          <w:color w:val="000000" w:themeColor="text1"/>
          <w:szCs w:val="24"/>
          <w:vertAlign w:val="superscript"/>
          <w:lang w:val="en-US" w:eastAsia="ar-SA"/>
        </w:rPr>
        <w:t>‡</w:t>
      </w:r>
      <w:r w:rsidR="00DA1ACF" w:rsidRPr="00E23E7B">
        <w:rPr>
          <w:rFonts w:ascii="Arial Bold" w:hAnsi="Arial Bold" w:cs="Arial"/>
          <w:color w:val="000000" w:themeColor="text1"/>
          <w:szCs w:val="24"/>
          <w:lang w:val="en-US" w:eastAsia="ar-SA"/>
        </w:rPr>
        <w:t xml:space="preserve"> </w:t>
      </w:r>
      <w:r w:rsidR="00DA1ACF" w:rsidRPr="00E23E7B">
        <w:rPr>
          <w:rFonts w:ascii="Arial" w:hAnsi="Arial" w:cs="Arial"/>
          <w:color w:val="000000" w:themeColor="text1"/>
          <w:szCs w:val="24"/>
          <w:lang w:val="en-US" w:eastAsia="ar-SA"/>
        </w:rPr>
        <w:t>to the community;</w:t>
      </w:r>
    </w:p>
    <w:p w14:paraId="3636197C" w14:textId="77777777" w:rsidR="00590DF9" w:rsidRPr="00E23E7B" w:rsidRDefault="00590DF9" w:rsidP="00590DF9">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Alert the community</w:t>
      </w:r>
      <w:r w:rsidR="00DA1ACF"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including a link to the Planning Application</w:t>
      </w:r>
      <w:r w:rsidR="00DA1ACF"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t>
      </w:r>
      <w:r w:rsidR="002A03A4" w:rsidRPr="00E23E7B">
        <w:rPr>
          <w:rFonts w:ascii="Arial" w:hAnsi="Arial" w:cs="Arial"/>
          <w:color w:val="000000" w:themeColor="text1"/>
          <w:szCs w:val="24"/>
          <w:lang w:val="en-US" w:eastAsia="ar-SA"/>
        </w:rPr>
        <w:t xml:space="preserve">where </w:t>
      </w:r>
      <w:r w:rsidR="00812D49" w:rsidRPr="00E23E7B">
        <w:rPr>
          <w:rFonts w:ascii="Arial" w:hAnsi="Arial" w:cs="Arial"/>
          <w:color w:val="000000" w:themeColor="text1"/>
          <w:szCs w:val="24"/>
          <w:lang w:val="en-US" w:eastAsia="ar-SA"/>
        </w:rPr>
        <w:t>councillors</w:t>
      </w:r>
      <w:r w:rsidR="002A03A4" w:rsidRPr="00E23E7B">
        <w:rPr>
          <w:rFonts w:ascii="Arial" w:hAnsi="Arial" w:cs="Arial"/>
          <w:color w:val="000000" w:themeColor="text1"/>
          <w:szCs w:val="24"/>
          <w:lang w:val="en-US" w:eastAsia="ar-SA"/>
        </w:rPr>
        <w:t xml:space="preserve"> (in </w:t>
      </w:r>
      <w:r w:rsidR="00812D49" w:rsidRPr="00E23E7B">
        <w:rPr>
          <w:rFonts w:ascii="Arial" w:hAnsi="Arial" w:cs="Arial"/>
          <w:color w:val="000000" w:themeColor="text1"/>
          <w:szCs w:val="24"/>
          <w:lang w:val="en-US" w:eastAsia="ar-SA"/>
        </w:rPr>
        <w:t>their</w:t>
      </w:r>
      <w:r w:rsidR="002A03A4" w:rsidRPr="00E23E7B">
        <w:rPr>
          <w:rFonts w:ascii="Arial" w:hAnsi="Arial" w:cs="Arial"/>
          <w:color w:val="000000" w:themeColor="text1"/>
          <w:szCs w:val="24"/>
          <w:lang w:val="en-US" w:eastAsia="ar-SA"/>
        </w:rPr>
        <w:t xml:space="preserve"> </w:t>
      </w:r>
      <w:r w:rsidR="00A053F9" w:rsidRPr="00E23E7B">
        <w:rPr>
          <w:rFonts w:ascii="Arial" w:hAnsi="Arial" w:cs="Arial"/>
          <w:color w:val="000000" w:themeColor="text1"/>
          <w:szCs w:val="24"/>
          <w:lang w:val="en-US" w:eastAsia="ar-SA"/>
        </w:rPr>
        <w:t xml:space="preserve">initial </w:t>
      </w:r>
      <w:r w:rsidR="002A03A4" w:rsidRPr="00E23E7B">
        <w:rPr>
          <w:rFonts w:ascii="Arial" w:hAnsi="Arial" w:cs="Arial"/>
          <w:color w:val="000000" w:themeColor="text1"/>
          <w:szCs w:val="24"/>
          <w:lang w:val="en-US" w:eastAsia="ar-SA"/>
        </w:rPr>
        <w:t xml:space="preserve">opinion) believe </w:t>
      </w:r>
      <w:r w:rsidR="00C3539A" w:rsidRPr="00E23E7B">
        <w:rPr>
          <w:rFonts w:ascii="Arial" w:hAnsi="Arial" w:cs="Arial"/>
          <w:color w:val="000000" w:themeColor="text1"/>
          <w:szCs w:val="24"/>
          <w:lang w:val="en-US" w:eastAsia="ar-SA"/>
        </w:rPr>
        <w:t>the</w:t>
      </w:r>
      <w:r w:rsidR="002A03A4" w:rsidRPr="00E23E7B">
        <w:rPr>
          <w:rFonts w:ascii="Arial" w:hAnsi="Arial" w:cs="Arial"/>
          <w:color w:val="000000" w:themeColor="text1"/>
          <w:szCs w:val="24"/>
          <w:lang w:val="en-US" w:eastAsia="ar-SA"/>
        </w:rPr>
        <w:t xml:space="preserve"> application to be of </w:t>
      </w:r>
      <w:r w:rsidR="002A03A4" w:rsidRPr="00E23E7B">
        <w:rPr>
          <w:rFonts w:ascii="Arial" w:hAnsi="Arial" w:cs="Arial"/>
          <w:b/>
          <w:color w:val="000000" w:themeColor="text1"/>
          <w:szCs w:val="24"/>
          <w:lang w:val="en-US" w:eastAsia="ar-SA"/>
        </w:rPr>
        <w:t>High Impact</w:t>
      </w:r>
      <w:r w:rsidR="00341D4B" w:rsidRPr="00E23E7B">
        <w:rPr>
          <w:rFonts w:ascii="Arial" w:hAnsi="Arial" w:cs="Arial"/>
          <w:b/>
          <w:color w:val="000000" w:themeColor="text1"/>
          <w:szCs w:val="24"/>
          <w:vertAlign w:val="superscript"/>
          <w:lang w:val="en-US" w:eastAsia="ar-SA"/>
        </w:rPr>
        <w:t>‡</w:t>
      </w:r>
      <w:r w:rsidR="002A03A4" w:rsidRPr="00E23E7B">
        <w:rPr>
          <w:rFonts w:ascii="Arial" w:hAnsi="Arial" w:cs="Arial"/>
          <w:b/>
          <w:color w:val="000000" w:themeColor="text1"/>
          <w:szCs w:val="24"/>
          <w:lang w:val="en-US" w:eastAsia="ar-SA"/>
        </w:rPr>
        <w:t xml:space="preserve"> </w:t>
      </w:r>
      <w:r w:rsidR="002A03A4" w:rsidRPr="00E23E7B">
        <w:rPr>
          <w:rFonts w:ascii="Arial" w:hAnsi="Arial" w:cs="Arial"/>
          <w:color w:val="000000" w:themeColor="text1"/>
          <w:szCs w:val="24"/>
          <w:lang w:val="en-US" w:eastAsia="ar-SA"/>
        </w:rPr>
        <w:t xml:space="preserve">to the Community.  This will be </w:t>
      </w:r>
      <w:r w:rsidR="00341D4B" w:rsidRPr="00E23E7B">
        <w:rPr>
          <w:rFonts w:ascii="Arial" w:hAnsi="Arial" w:cs="Arial"/>
          <w:color w:val="000000" w:themeColor="text1"/>
          <w:szCs w:val="24"/>
          <w:lang w:val="en-US" w:eastAsia="ar-SA"/>
        </w:rPr>
        <w:t xml:space="preserve">done </w:t>
      </w:r>
      <w:r w:rsidR="002A03A4" w:rsidRPr="00E23E7B">
        <w:rPr>
          <w:rFonts w:ascii="Arial" w:hAnsi="Arial" w:cs="Arial"/>
          <w:color w:val="000000" w:themeColor="text1"/>
          <w:szCs w:val="24"/>
          <w:lang w:val="en-US" w:eastAsia="ar-SA"/>
        </w:rPr>
        <w:t xml:space="preserve">by </w:t>
      </w:r>
      <w:r w:rsidRPr="00E23E7B">
        <w:rPr>
          <w:rFonts w:ascii="Arial" w:hAnsi="Arial" w:cs="Arial"/>
          <w:color w:val="000000" w:themeColor="text1"/>
          <w:szCs w:val="24"/>
          <w:lang w:val="en-US" w:eastAsia="ar-SA"/>
        </w:rPr>
        <w:t xml:space="preserve">using the Community Newsletter or other </w:t>
      </w:r>
      <w:r w:rsidR="00DA1ACF" w:rsidRPr="00E23E7B">
        <w:rPr>
          <w:rFonts w:ascii="Arial" w:hAnsi="Arial" w:cs="Arial"/>
          <w:color w:val="000000" w:themeColor="text1"/>
          <w:szCs w:val="24"/>
          <w:lang w:val="en-US" w:eastAsia="ar-SA"/>
        </w:rPr>
        <w:t xml:space="preserve">appropriate </w:t>
      </w:r>
      <w:r w:rsidRPr="00E23E7B">
        <w:rPr>
          <w:rFonts w:ascii="Arial" w:hAnsi="Arial" w:cs="Arial"/>
          <w:color w:val="000000" w:themeColor="text1"/>
          <w:szCs w:val="24"/>
          <w:lang w:val="en-US" w:eastAsia="ar-SA"/>
        </w:rPr>
        <w:t>means within seven days of notification by the FoDDC</w:t>
      </w:r>
      <w:r w:rsidR="00341D4B" w:rsidRPr="00E23E7B">
        <w:rPr>
          <w:rFonts w:ascii="Arial" w:hAnsi="Arial" w:cs="Arial"/>
          <w:color w:val="000000" w:themeColor="text1"/>
          <w:szCs w:val="24"/>
          <w:lang w:val="en-US" w:eastAsia="ar-SA"/>
        </w:rPr>
        <w:t>.  The Alert will</w:t>
      </w:r>
      <w:r w:rsidRPr="00E23E7B">
        <w:rPr>
          <w:rFonts w:ascii="Arial" w:hAnsi="Arial" w:cs="Arial"/>
          <w:color w:val="000000" w:themeColor="text1"/>
          <w:szCs w:val="24"/>
          <w:lang w:val="en-US" w:eastAsia="ar-SA"/>
        </w:rPr>
        <w:t xml:space="preserve"> stat</w:t>
      </w:r>
      <w:r w:rsidR="00341D4B" w:rsidRPr="00E23E7B">
        <w:rPr>
          <w:rFonts w:ascii="Arial" w:hAnsi="Arial" w:cs="Arial"/>
          <w:color w:val="000000" w:themeColor="text1"/>
          <w:szCs w:val="24"/>
          <w:lang w:val="en-US" w:eastAsia="ar-SA"/>
        </w:rPr>
        <w:t>e</w:t>
      </w:r>
      <w:r w:rsidRPr="00E23E7B">
        <w:rPr>
          <w:rFonts w:ascii="Arial" w:hAnsi="Arial" w:cs="Arial"/>
          <w:color w:val="000000" w:themeColor="text1"/>
          <w:szCs w:val="24"/>
          <w:lang w:val="en-US" w:eastAsia="ar-SA"/>
        </w:rPr>
        <w:t xml:space="preserve"> the consultation response date;</w:t>
      </w:r>
    </w:p>
    <w:p w14:paraId="547C8292" w14:textId="77777777" w:rsidR="00271D84" w:rsidRPr="00E23E7B" w:rsidRDefault="00271D84" w:rsidP="00271D84">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Ensure that timing </w:t>
      </w:r>
      <w:r w:rsidR="00FA678F" w:rsidRPr="00E23E7B">
        <w:rPr>
          <w:rFonts w:ascii="Arial" w:hAnsi="Arial" w:cs="Arial"/>
          <w:color w:val="000000" w:themeColor="text1"/>
          <w:szCs w:val="24"/>
          <w:lang w:val="en-US" w:eastAsia="ar-SA"/>
        </w:rPr>
        <w:t xml:space="preserve">of the consultation </w:t>
      </w:r>
      <w:r w:rsidRPr="00E23E7B">
        <w:rPr>
          <w:rFonts w:ascii="Arial" w:hAnsi="Arial" w:cs="Arial"/>
          <w:color w:val="000000" w:themeColor="text1"/>
          <w:szCs w:val="24"/>
          <w:lang w:val="en-US" w:eastAsia="ar-SA"/>
        </w:rPr>
        <w:t>permits views to be given by the community</w:t>
      </w:r>
      <w:r w:rsidR="00B94226"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t>
      </w:r>
      <w:r w:rsidR="00B94226" w:rsidRPr="00E23E7B">
        <w:rPr>
          <w:rFonts w:ascii="Arial" w:hAnsi="Arial" w:cs="Arial"/>
          <w:color w:val="000000" w:themeColor="text1"/>
          <w:szCs w:val="24"/>
          <w:lang w:val="en-US" w:eastAsia="ar-SA"/>
        </w:rPr>
        <w:t xml:space="preserve">and a decision made by the Council, </w:t>
      </w:r>
      <w:r w:rsidRPr="00E23E7B">
        <w:rPr>
          <w:rFonts w:ascii="Arial" w:hAnsi="Arial" w:cs="Arial"/>
          <w:color w:val="000000" w:themeColor="text1"/>
          <w:szCs w:val="24"/>
          <w:lang w:val="en-US" w:eastAsia="ar-SA"/>
        </w:rPr>
        <w:t>at a scheduled Parish Council Meeting</w:t>
      </w:r>
      <w:r w:rsidR="00B94226" w:rsidRPr="00E23E7B">
        <w:rPr>
          <w:rFonts w:ascii="Arial" w:hAnsi="Arial" w:cs="Arial"/>
          <w:color w:val="000000" w:themeColor="text1"/>
          <w:szCs w:val="24"/>
          <w:lang w:val="en-US" w:eastAsia="ar-SA"/>
        </w:rPr>
        <w:t>.  Alternatively</w:t>
      </w:r>
      <w:r w:rsidRPr="00E23E7B">
        <w:rPr>
          <w:rFonts w:ascii="Arial" w:hAnsi="Arial" w:cs="Arial"/>
          <w:color w:val="000000" w:themeColor="text1"/>
          <w:szCs w:val="24"/>
          <w:lang w:val="en-US" w:eastAsia="ar-SA"/>
        </w:rPr>
        <w:t xml:space="preserve">, where the </w:t>
      </w:r>
      <w:r w:rsidR="00B94226" w:rsidRPr="00E23E7B">
        <w:rPr>
          <w:rFonts w:ascii="Arial" w:hAnsi="Arial" w:cs="Arial"/>
          <w:color w:val="000000" w:themeColor="text1"/>
          <w:szCs w:val="24"/>
          <w:lang w:val="en-US" w:eastAsia="ar-SA"/>
        </w:rPr>
        <w:t xml:space="preserve">consultation </w:t>
      </w:r>
      <w:r w:rsidRPr="00E23E7B">
        <w:rPr>
          <w:rFonts w:ascii="Arial" w:hAnsi="Arial" w:cs="Arial"/>
          <w:color w:val="000000" w:themeColor="text1"/>
          <w:szCs w:val="24"/>
          <w:lang w:val="en-US" w:eastAsia="ar-SA"/>
        </w:rPr>
        <w:t>response time cannot be suitably extended, convene an Extraordinary Parish Council Meeting;</w:t>
      </w:r>
    </w:p>
    <w:p w14:paraId="47A9F16E" w14:textId="77777777" w:rsidR="00B30FF9" w:rsidRPr="00E23E7B" w:rsidRDefault="00B30FF9"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Consider representations made to the Council where third parties believe a Planning Application to be </w:t>
      </w:r>
      <w:r w:rsidRPr="00E23E7B">
        <w:rPr>
          <w:rFonts w:ascii="Arial" w:hAnsi="Arial" w:cs="Arial"/>
          <w:b/>
          <w:color w:val="000000" w:themeColor="text1"/>
          <w:szCs w:val="24"/>
          <w:lang w:val="en-US" w:eastAsia="ar-SA"/>
        </w:rPr>
        <w:t>High Impact</w:t>
      </w:r>
      <w:r w:rsidRPr="00E23E7B">
        <w:rPr>
          <w:rFonts w:ascii="Arial" w:hAnsi="Arial" w:cs="Arial"/>
          <w:b/>
          <w:color w:val="000000" w:themeColor="text1"/>
          <w:szCs w:val="24"/>
          <w:vertAlign w:val="superscript"/>
          <w:lang w:val="en-US" w:eastAsia="ar-SA"/>
        </w:rPr>
        <w:t>‡</w:t>
      </w:r>
      <w:r w:rsidR="007A3983" w:rsidRPr="00E23E7B">
        <w:rPr>
          <w:rFonts w:ascii="Arial" w:hAnsi="Arial" w:cs="Arial"/>
          <w:color w:val="000000" w:themeColor="text1"/>
          <w:szCs w:val="24"/>
          <w:lang w:val="en-US" w:eastAsia="ar-SA"/>
        </w:rPr>
        <w:t>. W</w:t>
      </w:r>
      <w:r w:rsidRPr="00E23E7B">
        <w:rPr>
          <w:rFonts w:ascii="Arial" w:hAnsi="Arial" w:cs="Arial"/>
          <w:color w:val="000000" w:themeColor="text1"/>
          <w:szCs w:val="24"/>
          <w:lang w:val="en-US" w:eastAsia="ar-SA"/>
        </w:rPr>
        <w:t xml:space="preserve">here appropriate </w:t>
      </w:r>
      <w:r w:rsidR="008F7971" w:rsidRPr="00E23E7B">
        <w:rPr>
          <w:rFonts w:ascii="Arial" w:hAnsi="Arial" w:cs="Arial"/>
          <w:color w:val="000000" w:themeColor="text1"/>
          <w:szCs w:val="24"/>
          <w:lang w:val="en-US" w:eastAsia="ar-SA"/>
        </w:rPr>
        <w:t>the Council may (</w:t>
      </w:r>
      <w:r w:rsidRPr="00E23E7B">
        <w:rPr>
          <w:rFonts w:ascii="Arial" w:hAnsi="Arial" w:cs="Arial"/>
          <w:color w:val="000000" w:themeColor="text1"/>
          <w:szCs w:val="24"/>
          <w:lang w:val="en-US" w:eastAsia="ar-SA"/>
        </w:rPr>
        <w:t xml:space="preserve">so long as sufficient time is available in the </w:t>
      </w:r>
      <w:r w:rsidR="00C3539A" w:rsidRPr="00E23E7B">
        <w:rPr>
          <w:rFonts w:ascii="Arial" w:hAnsi="Arial" w:cs="Arial"/>
          <w:color w:val="000000" w:themeColor="text1"/>
          <w:szCs w:val="24"/>
          <w:lang w:val="en-US" w:eastAsia="ar-SA"/>
        </w:rPr>
        <w:t xml:space="preserve">available </w:t>
      </w:r>
      <w:r w:rsidRPr="00E23E7B">
        <w:rPr>
          <w:rFonts w:ascii="Arial" w:hAnsi="Arial" w:cs="Arial"/>
          <w:color w:val="000000" w:themeColor="text1"/>
          <w:szCs w:val="24"/>
          <w:lang w:val="en-US" w:eastAsia="ar-SA"/>
        </w:rPr>
        <w:t>consultation process</w:t>
      </w:r>
      <w:r w:rsidR="008F7971" w:rsidRPr="00E23E7B">
        <w:rPr>
          <w:rFonts w:ascii="Arial" w:hAnsi="Arial" w:cs="Arial"/>
          <w:color w:val="000000" w:themeColor="text1"/>
          <w:szCs w:val="24"/>
          <w:lang w:val="en-US" w:eastAsia="ar-SA"/>
        </w:rPr>
        <w:t>)</w:t>
      </w:r>
      <w:r w:rsidR="007A3983" w:rsidRPr="00E23E7B">
        <w:rPr>
          <w:rFonts w:ascii="Arial" w:hAnsi="Arial" w:cs="Arial"/>
          <w:color w:val="000000" w:themeColor="text1"/>
          <w:szCs w:val="24"/>
          <w:lang w:val="en-US" w:eastAsia="ar-SA"/>
        </w:rPr>
        <w:t xml:space="preserve">, </w:t>
      </w:r>
      <w:r w:rsidR="001F3CA4" w:rsidRPr="00E23E7B">
        <w:rPr>
          <w:rFonts w:ascii="Arial" w:hAnsi="Arial" w:cs="Arial"/>
          <w:color w:val="000000" w:themeColor="text1"/>
          <w:szCs w:val="24"/>
          <w:lang w:val="en-US" w:eastAsia="ar-SA"/>
        </w:rPr>
        <w:t>invok</w:t>
      </w:r>
      <w:r w:rsidR="008F7971" w:rsidRPr="00E23E7B">
        <w:rPr>
          <w:rFonts w:ascii="Arial" w:hAnsi="Arial" w:cs="Arial"/>
          <w:color w:val="000000" w:themeColor="text1"/>
          <w:szCs w:val="24"/>
          <w:lang w:val="en-US" w:eastAsia="ar-SA"/>
        </w:rPr>
        <w:t>e</w:t>
      </w:r>
      <w:r w:rsidR="001F3CA4" w:rsidRPr="00E23E7B">
        <w:rPr>
          <w:rFonts w:ascii="Arial" w:hAnsi="Arial" w:cs="Arial"/>
          <w:color w:val="000000" w:themeColor="text1"/>
          <w:szCs w:val="24"/>
          <w:lang w:val="en-US" w:eastAsia="ar-SA"/>
        </w:rPr>
        <w:t xml:space="preserve"> notification as (B) above</w:t>
      </w:r>
      <w:r w:rsidRPr="00E23E7B">
        <w:rPr>
          <w:rFonts w:ascii="Arial" w:hAnsi="Arial" w:cs="Arial"/>
          <w:color w:val="000000" w:themeColor="text1"/>
          <w:szCs w:val="24"/>
          <w:lang w:val="en-US" w:eastAsia="ar-SA"/>
        </w:rPr>
        <w:t>;</w:t>
      </w:r>
    </w:p>
    <w:p w14:paraId="5D9FF35C" w14:textId="77777777" w:rsidR="00FF0FE8" w:rsidRPr="00E23E7B" w:rsidRDefault="009F3D8D"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Allow</w:t>
      </w:r>
      <w:r w:rsidR="00E4365C" w:rsidRPr="00E23E7B">
        <w:rPr>
          <w:rFonts w:ascii="Arial" w:hAnsi="Arial" w:cs="Arial"/>
          <w:color w:val="000000" w:themeColor="text1"/>
          <w:szCs w:val="24"/>
          <w:lang w:val="en-US" w:eastAsia="ar-SA"/>
        </w:rPr>
        <w:t xml:space="preserve"> the Officer Responsible </w:t>
      </w:r>
      <w:r w:rsidRPr="00E23E7B">
        <w:rPr>
          <w:rFonts w:ascii="Arial" w:hAnsi="Arial" w:cs="Arial"/>
          <w:color w:val="000000" w:themeColor="text1"/>
          <w:szCs w:val="24"/>
          <w:lang w:val="en-US" w:eastAsia="ar-SA"/>
        </w:rPr>
        <w:t xml:space="preserve">to </w:t>
      </w:r>
      <w:r w:rsidR="0047241B" w:rsidRPr="00E23E7B">
        <w:rPr>
          <w:rFonts w:ascii="Arial" w:hAnsi="Arial" w:cs="Arial"/>
          <w:color w:val="000000" w:themeColor="text1"/>
          <w:szCs w:val="24"/>
          <w:lang w:val="en-US" w:eastAsia="ar-SA"/>
        </w:rPr>
        <w:t>undertake relevant liaison</w:t>
      </w:r>
      <w:r w:rsidRPr="00E23E7B">
        <w:rPr>
          <w:rFonts w:ascii="Arial" w:hAnsi="Arial" w:cs="Arial"/>
          <w:color w:val="000000" w:themeColor="text1"/>
          <w:szCs w:val="24"/>
          <w:lang w:val="en-US" w:eastAsia="ar-SA"/>
        </w:rPr>
        <w:t xml:space="preserve"> </w:t>
      </w:r>
      <w:r w:rsidR="00AC2250" w:rsidRPr="00E23E7B">
        <w:rPr>
          <w:rFonts w:ascii="Arial" w:hAnsi="Arial" w:cs="Arial"/>
          <w:color w:val="000000" w:themeColor="text1"/>
          <w:szCs w:val="24"/>
          <w:lang w:val="en-US" w:eastAsia="ar-SA"/>
        </w:rPr>
        <w:t xml:space="preserve">for the </w:t>
      </w:r>
      <w:r w:rsidR="007C005F" w:rsidRPr="00E23E7B">
        <w:rPr>
          <w:rFonts w:ascii="Arial" w:hAnsi="Arial" w:cs="Arial"/>
          <w:color w:val="000000" w:themeColor="text1"/>
          <w:szCs w:val="24"/>
          <w:lang w:val="en-US" w:eastAsia="ar-SA"/>
        </w:rPr>
        <w:t>Council’s</w:t>
      </w:r>
      <w:r w:rsidR="00AC2250" w:rsidRPr="00E23E7B">
        <w:rPr>
          <w:rFonts w:ascii="Arial" w:hAnsi="Arial" w:cs="Arial"/>
          <w:color w:val="000000" w:themeColor="text1"/>
          <w:szCs w:val="24"/>
          <w:lang w:val="en-US" w:eastAsia="ar-SA"/>
        </w:rPr>
        <w:t xml:space="preserve"> purposes, </w:t>
      </w:r>
      <w:r w:rsidR="009F059E" w:rsidRPr="00E23E7B">
        <w:rPr>
          <w:rFonts w:ascii="Arial" w:hAnsi="Arial" w:cs="Arial"/>
          <w:color w:val="000000" w:themeColor="text1"/>
          <w:szCs w:val="24"/>
          <w:lang w:val="en-US" w:eastAsia="ar-SA"/>
        </w:rPr>
        <w:t xml:space="preserve">to be </w:t>
      </w:r>
      <w:r w:rsidR="00AC2250" w:rsidRPr="00E23E7B">
        <w:rPr>
          <w:rFonts w:ascii="Arial" w:hAnsi="Arial" w:cs="Arial"/>
          <w:color w:val="000000" w:themeColor="text1"/>
          <w:szCs w:val="24"/>
          <w:lang w:val="en-US" w:eastAsia="ar-SA"/>
        </w:rPr>
        <w:t xml:space="preserve">the point of contact for the community and </w:t>
      </w:r>
      <w:r w:rsidR="0032604C" w:rsidRPr="00E23E7B">
        <w:rPr>
          <w:rFonts w:ascii="Arial" w:hAnsi="Arial" w:cs="Arial"/>
          <w:color w:val="000000" w:themeColor="text1"/>
          <w:szCs w:val="24"/>
          <w:lang w:val="en-US" w:eastAsia="ar-SA"/>
        </w:rPr>
        <w:t xml:space="preserve">for </w:t>
      </w:r>
      <w:r w:rsidR="00AC2250" w:rsidRPr="00E23E7B">
        <w:rPr>
          <w:rFonts w:ascii="Arial" w:hAnsi="Arial" w:cs="Arial"/>
          <w:color w:val="000000" w:themeColor="text1"/>
          <w:szCs w:val="24"/>
          <w:lang w:val="en-US" w:eastAsia="ar-SA"/>
        </w:rPr>
        <w:t>third parties, and</w:t>
      </w:r>
      <w:r w:rsidR="000B093E" w:rsidRPr="00E23E7B">
        <w:rPr>
          <w:rFonts w:ascii="Arial" w:hAnsi="Arial" w:cs="Arial"/>
          <w:color w:val="000000" w:themeColor="text1"/>
          <w:szCs w:val="24"/>
          <w:lang w:val="en-US" w:eastAsia="ar-SA"/>
        </w:rPr>
        <w:t xml:space="preserve"> </w:t>
      </w:r>
      <w:r w:rsidR="00204B4E" w:rsidRPr="00E23E7B">
        <w:rPr>
          <w:rFonts w:ascii="Arial" w:hAnsi="Arial" w:cs="Arial"/>
          <w:color w:val="000000" w:themeColor="text1"/>
          <w:szCs w:val="24"/>
          <w:lang w:val="en-US" w:eastAsia="ar-SA"/>
        </w:rPr>
        <w:t xml:space="preserve">to </w:t>
      </w:r>
      <w:r w:rsidR="00E4365C" w:rsidRPr="00E23E7B">
        <w:rPr>
          <w:rFonts w:ascii="Arial" w:hAnsi="Arial" w:cs="Arial"/>
          <w:color w:val="000000" w:themeColor="text1"/>
          <w:szCs w:val="24"/>
          <w:lang w:val="en-US" w:eastAsia="ar-SA"/>
        </w:rPr>
        <w:t>resp</w:t>
      </w:r>
      <w:r w:rsidR="00911F4F" w:rsidRPr="00E23E7B">
        <w:rPr>
          <w:rFonts w:ascii="Arial" w:hAnsi="Arial" w:cs="Arial"/>
          <w:color w:val="000000" w:themeColor="text1"/>
          <w:szCs w:val="24"/>
          <w:lang w:val="en-US" w:eastAsia="ar-SA"/>
        </w:rPr>
        <w:t>on</w:t>
      </w:r>
      <w:r w:rsidR="00E4365C" w:rsidRPr="00E23E7B">
        <w:rPr>
          <w:rFonts w:ascii="Arial" w:hAnsi="Arial" w:cs="Arial"/>
          <w:color w:val="000000" w:themeColor="text1"/>
          <w:szCs w:val="24"/>
          <w:lang w:val="en-US" w:eastAsia="ar-SA"/>
        </w:rPr>
        <w:t xml:space="preserve">d to (or </w:t>
      </w:r>
      <w:r w:rsidR="000B093E" w:rsidRPr="00E23E7B">
        <w:rPr>
          <w:rFonts w:ascii="Arial" w:hAnsi="Arial" w:cs="Arial"/>
          <w:color w:val="000000" w:themeColor="text1"/>
          <w:szCs w:val="24"/>
          <w:lang w:val="en-US" w:eastAsia="ar-SA"/>
        </w:rPr>
        <w:t>r</w:t>
      </w:r>
      <w:r w:rsidR="006F0FE6" w:rsidRPr="00E23E7B">
        <w:rPr>
          <w:rFonts w:ascii="Arial" w:hAnsi="Arial" w:cs="Arial"/>
          <w:color w:val="000000" w:themeColor="text1"/>
          <w:szCs w:val="24"/>
          <w:lang w:val="en-US" w:eastAsia="ar-SA"/>
        </w:rPr>
        <w:t xml:space="preserve">equire the Clerk </w:t>
      </w:r>
      <w:r w:rsidR="00E4365C" w:rsidRPr="00E23E7B">
        <w:rPr>
          <w:rFonts w:ascii="Arial" w:hAnsi="Arial" w:cs="Arial"/>
          <w:color w:val="000000" w:themeColor="text1"/>
          <w:szCs w:val="24"/>
          <w:lang w:val="en-US" w:eastAsia="ar-SA"/>
        </w:rPr>
        <w:t xml:space="preserve">to </w:t>
      </w:r>
      <w:r w:rsidR="007C005F" w:rsidRPr="00E23E7B">
        <w:rPr>
          <w:rFonts w:ascii="Arial" w:hAnsi="Arial" w:cs="Arial"/>
          <w:color w:val="000000" w:themeColor="text1"/>
          <w:szCs w:val="24"/>
          <w:lang w:val="en-US" w:eastAsia="ar-SA"/>
        </w:rPr>
        <w:t>respond</w:t>
      </w:r>
      <w:r w:rsidR="00E4365C" w:rsidRPr="00E23E7B">
        <w:rPr>
          <w:rFonts w:ascii="Arial" w:hAnsi="Arial" w:cs="Arial"/>
          <w:color w:val="000000" w:themeColor="text1"/>
          <w:szCs w:val="24"/>
          <w:lang w:val="en-US" w:eastAsia="ar-SA"/>
        </w:rPr>
        <w:t xml:space="preserve"> to) a consultation </w:t>
      </w:r>
      <w:r w:rsidR="00911F4F" w:rsidRPr="00E23E7B">
        <w:rPr>
          <w:rFonts w:ascii="Arial" w:hAnsi="Arial" w:cs="Arial"/>
          <w:color w:val="000000" w:themeColor="text1"/>
          <w:szCs w:val="24"/>
          <w:lang w:val="en-US" w:eastAsia="ar-SA"/>
        </w:rPr>
        <w:t>and</w:t>
      </w:r>
      <w:r w:rsidR="006F0FE6" w:rsidRPr="00E23E7B">
        <w:rPr>
          <w:rFonts w:ascii="Arial" w:hAnsi="Arial" w:cs="Arial"/>
          <w:color w:val="000000" w:themeColor="text1"/>
          <w:szCs w:val="24"/>
          <w:lang w:val="en-US" w:eastAsia="ar-SA"/>
        </w:rPr>
        <w:t xml:space="preserve"> convey the decision </w:t>
      </w:r>
      <w:r w:rsidR="003B765A" w:rsidRPr="00E23E7B">
        <w:rPr>
          <w:rFonts w:ascii="Arial" w:hAnsi="Arial" w:cs="Arial"/>
          <w:color w:val="000000" w:themeColor="text1"/>
          <w:szCs w:val="24"/>
          <w:lang w:val="en-US" w:eastAsia="ar-SA"/>
        </w:rPr>
        <w:t xml:space="preserve">of </w:t>
      </w:r>
      <w:r w:rsidR="000E1955" w:rsidRPr="00E23E7B">
        <w:rPr>
          <w:rFonts w:ascii="Arial" w:hAnsi="Arial" w:cs="Arial"/>
          <w:color w:val="000000" w:themeColor="text1"/>
          <w:szCs w:val="24"/>
          <w:lang w:val="en-US" w:eastAsia="ar-SA"/>
        </w:rPr>
        <w:t>the C</w:t>
      </w:r>
      <w:r w:rsidR="00104582" w:rsidRPr="00E23E7B">
        <w:rPr>
          <w:rFonts w:ascii="Arial" w:hAnsi="Arial" w:cs="Arial"/>
          <w:color w:val="000000" w:themeColor="text1"/>
          <w:szCs w:val="24"/>
          <w:lang w:val="en-US" w:eastAsia="ar-SA"/>
        </w:rPr>
        <w:t xml:space="preserve">ouncil </w:t>
      </w:r>
      <w:r w:rsidR="006F0FE6" w:rsidRPr="00E23E7B">
        <w:rPr>
          <w:rFonts w:ascii="Arial" w:hAnsi="Arial" w:cs="Arial"/>
          <w:color w:val="000000" w:themeColor="text1"/>
          <w:szCs w:val="24"/>
          <w:lang w:val="en-US" w:eastAsia="ar-SA"/>
        </w:rPr>
        <w:t>to the FoDDC</w:t>
      </w:r>
      <w:r w:rsidR="003C1185" w:rsidRPr="00E23E7B">
        <w:rPr>
          <w:rFonts w:ascii="Arial" w:hAnsi="Arial" w:cs="Arial"/>
          <w:color w:val="000000" w:themeColor="text1"/>
          <w:szCs w:val="24"/>
          <w:lang w:val="en-US" w:eastAsia="ar-SA"/>
        </w:rPr>
        <w:t xml:space="preserve"> in line with paragraph (1) above</w:t>
      </w:r>
      <w:r w:rsidR="00FF0FE8" w:rsidRPr="00E23E7B">
        <w:rPr>
          <w:rFonts w:ascii="Arial" w:hAnsi="Arial" w:cs="Arial"/>
          <w:color w:val="000000" w:themeColor="text1"/>
          <w:szCs w:val="24"/>
          <w:lang w:val="en-US" w:eastAsia="ar-SA"/>
        </w:rPr>
        <w:t>;</w:t>
      </w:r>
      <w:r w:rsidR="003B1915" w:rsidRPr="00E23E7B">
        <w:rPr>
          <w:rFonts w:ascii="Arial" w:hAnsi="Arial" w:cs="Arial"/>
          <w:color w:val="000000" w:themeColor="text1"/>
          <w:szCs w:val="24"/>
          <w:lang w:val="en-US" w:eastAsia="ar-SA"/>
        </w:rPr>
        <w:t xml:space="preserve">  </w:t>
      </w:r>
    </w:p>
    <w:p w14:paraId="5C47E790" w14:textId="77777777" w:rsidR="009F059E" w:rsidRPr="00E23E7B" w:rsidRDefault="009F059E" w:rsidP="00590DF9">
      <w:pPr>
        <w:pStyle w:val="ListParagraph"/>
        <w:numPr>
          <w:ilvl w:val="0"/>
          <w:numId w:val="28"/>
        </w:numPr>
        <w:spacing w:before="120"/>
        <w:ind w:left="567" w:hanging="567"/>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Ensure that the decision of the Council regarding a Planning Application is made, and recorded, at a Parish Council Meeting;</w:t>
      </w:r>
    </w:p>
    <w:p w14:paraId="4D8B62AB" w14:textId="0EACA04D" w:rsidR="00590DF9" w:rsidRDefault="00590DF9" w:rsidP="00590DF9">
      <w:pPr>
        <w:pStyle w:val="ListParagraph"/>
        <w:numPr>
          <w:ilvl w:val="0"/>
          <w:numId w:val="28"/>
        </w:numPr>
        <w:spacing w:before="120"/>
        <w:ind w:left="567" w:hanging="567"/>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Provide a response to each</w:t>
      </w:r>
      <w:r w:rsidR="0043647B">
        <w:rPr>
          <w:rFonts w:ascii="Arial" w:hAnsi="Arial" w:cs="Arial"/>
          <w:color w:val="000000" w:themeColor="text1"/>
          <w:szCs w:val="24"/>
          <w:lang w:val="en-US" w:eastAsia="ar-SA"/>
        </w:rPr>
        <w:t xml:space="preserve"> high impact</w:t>
      </w:r>
      <w:r w:rsidRPr="00E23E7B">
        <w:rPr>
          <w:rFonts w:ascii="Arial" w:hAnsi="Arial" w:cs="Arial"/>
          <w:color w:val="000000" w:themeColor="text1"/>
          <w:szCs w:val="24"/>
          <w:lang w:val="en-US" w:eastAsia="ar-SA"/>
        </w:rPr>
        <w:t xml:space="preserve"> consultation</w:t>
      </w:r>
      <w:r w:rsidR="00AF7331"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within the response time;</w:t>
      </w:r>
    </w:p>
    <w:p w14:paraId="0F8E4FF7" w14:textId="47F41228" w:rsidR="0043647B" w:rsidRPr="00E23E7B" w:rsidRDefault="0043647B" w:rsidP="00590DF9">
      <w:pPr>
        <w:pStyle w:val="ListParagraph"/>
        <w:numPr>
          <w:ilvl w:val="0"/>
          <w:numId w:val="28"/>
        </w:numPr>
        <w:spacing w:before="120"/>
        <w:ind w:left="567" w:hanging="567"/>
        <w:rPr>
          <w:rFonts w:ascii="Arial" w:hAnsi="Arial" w:cs="Arial"/>
          <w:color w:val="000000" w:themeColor="text1"/>
          <w:szCs w:val="24"/>
          <w:lang w:val="en-US" w:eastAsia="ar-SA"/>
        </w:rPr>
      </w:pPr>
      <w:r>
        <w:rPr>
          <w:rFonts w:ascii="Arial" w:hAnsi="Arial" w:cs="Arial"/>
          <w:color w:val="000000" w:themeColor="text1"/>
          <w:szCs w:val="24"/>
          <w:lang w:val="en-US" w:eastAsia="ar-SA"/>
        </w:rPr>
        <w:t xml:space="preserve">Provide a response on low impact consultations </w:t>
      </w:r>
      <w:r w:rsidR="004D30FC">
        <w:rPr>
          <w:rFonts w:ascii="Arial" w:hAnsi="Arial" w:cs="Arial"/>
          <w:color w:val="000000" w:themeColor="text1"/>
          <w:szCs w:val="24"/>
          <w:lang w:val="en-US" w:eastAsia="ar-SA"/>
        </w:rPr>
        <w:t xml:space="preserve">only where in the opinion of the Council material planning considerations of significant community interest are identified (see Appendix 2). </w:t>
      </w:r>
    </w:p>
    <w:p w14:paraId="77550E6A" w14:textId="77777777" w:rsidR="006F0FE6" w:rsidRPr="00E23E7B" w:rsidRDefault="00A237BD"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Use </w:t>
      </w:r>
      <w:r w:rsidR="003B1915" w:rsidRPr="00E23E7B">
        <w:rPr>
          <w:rFonts w:ascii="Arial" w:hAnsi="Arial" w:cs="Arial"/>
          <w:color w:val="000000" w:themeColor="text1"/>
          <w:szCs w:val="24"/>
          <w:lang w:val="en-US" w:eastAsia="ar-SA"/>
        </w:rPr>
        <w:t xml:space="preserve">relevant </w:t>
      </w:r>
      <w:r w:rsidRPr="00E23E7B">
        <w:rPr>
          <w:rFonts w:ascii="Arial" w:hAnsi="Arial" w:cs="Arial"/>
          <w:color w:val="000000" w:themeColor="text1"/>
          <w:szCs w:val="24"/>
          <w:lang w:val="en-US" w:eastAsia="ar-SA"/>
        </w:rPr>
        <w:t xml:space="preserve">wording </w:t>
      </w:r>
      <w:r w:rsidR="00FF0FE8" w:rsidRPr="00E23E7B">
        <w:rPr>
          <w:rFonts w:ascii="Arial" w:hAnsi="Arial" w:cs="Arial"/>
          <w:color w:val="000000" w:themeColor="text1"/>
          <w:szCs w:val="24"/>
          <w:lang w:val="en-US" w:eastAsia="ar-SA"/>
        </w:rPr>
        <w:t>from th</w:t>
      </w:r>
      <w:r w:rsidRPr="00E23E7B">
        <w:rPr>
          <w:rFonts w:ascii="Arial" w:hAnsi="Arial" w:cs="Arial"/>
          <w:color w:val="000000" w:themeColor="text1"/>
          <w:szCs w:val="24"/>
          <w:lang w:val="en-US" w:eastAsia="ar-SA"/>
        </w:rPr>
        <w:t>e Draft Letter of Response set out in Appendix 1 to this Policy</w:t>
      </w:r>
      <w:r w:rsidR="00576987" w:rsidRPr="00E23E7B">
        <w:rPr>
          <w:rFonts w:ascii="Arial" w:hAnsi="Arial" w:cs="Arial"/>
          <w:color w:val="000000" w:themeColor="text1"/>
          <w:szCs w:val="24"/>
          <w:lang w:val="en-US" w:eastAsia="ar-SA"/>
        </w:rPr>
        <w:t>, and</w:t>
      </w:r>
    </w:p>
    <w:p w14:paraId="1516DF9D" w14:textId="77777777" w:rsidR="00576987" w:rsidRPr="00E23E7B" w:rsidRDefault="00576987"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Publish this Policy on the Council’s website.</w:t>
      </w:r>
    </w:p>
    <w:p w14:paraId="298D3B1D" w14:textId="77777777" w:rsidR="00D76B1D" w:rsidRPr="00D76B1D" w:rsidRDefault="00D76B1D" w:rsidP="00B30FF9">
      <w:pPr>
        <w:pStyle w:val="ListParagraph"/>
        <w:spacing w:before="120"/>
        <w:ind w:left="567"/>
        <w:jc w:val="both"/>
        <w:rPr>
          <w:rFonts w:ascii="Arial" w:hAnsi="Arial" w:cs="Arial"/>
          <w:color w:val="FF0000"/>
          <w:szCs w:val="24"/>
          <w:lang w:val="en-US" w:eastAsia="ar-SA"/>
        </w:rPr>
      </w:pPr>
    </w:p>
    <w:p w14:paraId="2A21A067" w14:textId="77777777" w:rsidR="003816F6" w:rsidRPr="002E7A81" w:rsidRDefault="003816F6">
      <w:pPr>
        <w:rPr>
          <w:rFonts w:ascii="Arial" w:hAnsi="Arial" w:cs="Arial"/>
          <w:b/>
          <w:szCs w:val="24"/>
          <w:lang w:val="en-US" w:eastAsia="ar-SA"/>
        </w:rPr>
      </w:pPr>
      <w:r w:rsidRPr="002E7A81">
        <w:rPr>
          <w:rFonts w:ascii="Arial" w:hAnsi="Arial" w:cs="Arial"/>
          <w:b/>
          <w:szCs w:val="24"/>
          <w:lang w:val="en-US" w:eastAsia="ar-SA"/>
        </w:rPr>
        <w:br w:type="page"/>
      </w:r>
    </w:p>
    <w:p w14:paraId="6713533A" w14:textId="77777777" w:rsidR="00F25BB1" w:rsidRPr="002E7A81" w:rsidRDefault="00F25BB1" w:rsidP="00DA1639">
      <w:pPr>
        <w:pStyle w:val="ListParagraph"/>
        <w:numPr>
          <w:ilvl w:val="0"/>
          <w:numId w:val="18"/>
        </w:numPr>
        <w:spacing w:before="240" w:after="120"/>
        <w:ind w:left="0" w:hanging="567"/>
        <w:jc w:val="both"/>
        <w:rPr>
          <w:rFonts w:ascii="Arial" w:hAnsi="Arial" w:cs="Arial"/>
          <w:b/>
          <w:szCs w:val="24"/>
          <w:lang w:val="en-US" w:eastAsia="ar-SA"/>
        </w:rPr>
      </w:pPr>
      <w:r w:rsidRPr="002E7A81">
        <w:rPr>
          <w:rFonts w:ascii="Arial" w:hAnsi="Arial" w:cs="Arial"/>
          <w:b/>
          <w:szCs w:val="24"/>
          <w:lang w:val="en-US" w:eastAsia="ar-SA"/>
        </w:rPr>
        <w:t>Definitions</w:t>
      </w:r>
      <w:r w:rsidR="00A77297" w:rsidRPr="002E7A81">
        <w:rPr>
          <w:rFonts w:ascii="Arial" w:hAnsi="Arial" w:cs="Arial"/>
          <w:b/>
          <w:szCs w:val="24"/>
          <w:lang w:val="en-US" w:eastAsia="ar-SA"/>
        </w:rPr>
        <w:t>:</w:t>
      </w:r>
    </w:p>
    <w:p w14:paraId="6B6CC0AB" w14:textId="77777777" w:rsidR="00BC59CA" w:rsidRPr="002E7A81" w:rsidRDefault="00BC59CA" w:rsidP="00BC59CA">
      <w:pPr>
        <w:spacing w:before="120" w:after="120"/>
        <w:jc w:val="both"/>
        <w:rPr>
          <w:rFonts w:ascii="Arial" w:hAnsi="Arial" w:cs="Arial"/>
          <w:szCs w:val="24"/>
          <w:lang w:val="en-US" w:eastAsia="ar-SA"/>
        </w:rPr>
      </w:pPr>
      <w:r w:rsidRPr="002E7A81">
        <w:rPr>
          <w:rFonts w:ascii="Arial" w:hAnsi="Arial" w:cs="Arial"/>
          <w:szCs w:val="24"/>
          <w:lang w:val="en-US" w:eastAsia="ar-SA"/>
        </w:rPr>
        <w:t>The Council uses the following meanings for the purposes of this Policy:</w:t>
      </w:r>
    </w:p>
    <w:p w14:paraId="46284FD7" w14:textId="77777777" w:rsidR="00104582"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104582" w:rsidRPr="002E7A81">
        <w:rPr>
          <w:rFonts w:ascii="Arial" w:hAnsi="Arial" w:cs="Arial"/>
          <w:szCs w:val="24"/>
          <w:lang w:val="en-US" w:eastAsia="ar-SA"/>
        </w:rPr>
        <w:tab/>
      </w:r>
      <w:r w:rsidR="00C65A00" w:rsidRPr="002E7A81">
        <w:rPr>
          <w:rFonts w:ascii="Arial" w:hAnsi="Arial" w:cs="Arial"/>
          <w:b/>
          <w:szCs w:val="24"/>
          <w:lang w:val="en-US" w:eastAsia="ar-SA"/>
        </w:rPr>
        <w:t>Low Impact</w:t>
      </w:r>
      <w:r w:rsidR="00104582" w:rsidRPr="002E7A81">
        <w:rPr>
          <w:rFonts w:ascii="Arial" w:hAnsi="Arial" w:cs="Arial"/>
          <w:szCs w:val="24"/>
          <w:lang w:val="en-US" w:eastAsia="ar-SA"/>
        </w:rPr>
        <w:t xml:space="preserve"> applications </w:t>
      </w:r>
      <w:r w:rsidR="00BC47CF" w:rsidRPr="002E7A81">
        <w:rPr>
          <w:rFonts w:ascii="Arial" w:hAnsi="Arial" w:cs="Arial"/>
          <w:szCs w:val="24"/>
          <w:lang w:val="en-US" w:eastAsia="ar-SA"/>
        </w:rPr>
        <w:t xml:space="preserve">would be ones </w:t>
      </w:r>
      <w:r w:rsidR="00104582" w:rsidRPr="002E7A81">
        <w:rPr>
          <w:rFonts w:ascii="Arial" w:hAnsi="Arial" w:cs="Arial"/>
          <w:szCs w:val="24"/>
          <w:lang w:val="en-US" w:eastAsia="ar-SA"/>
        </w:rPr>
        <w:t xml:space="preserve">normally </w:t>
      </w:r>
      <w:r w:rsidR="00C65A00" w:rsidRPr="002E7A81">
        <w:rPr>
          <w:rFonts w:ascii="Arial" w:hAnsi="Arial" w:cs="Arial"/>
          <w:szCs w:val="24"/>
          <w:lang w:val="en-US" w:eastAsia="ar-SA"/>
        </w:rPr>
        <w:t>involving</w:t>
      </w:r>
      <w:r w:rsidR="00104582" w:rsidRPr="002E7A81">
        <w:rPr>
          <w:rFonts w:ascii="Arial" w:hAnsi="Arial" w:cs="Arial"/>
          <w:szCs w:val="24"/>
          <w:lang w:val="en-US" w:eastAsia="ar-SA"/>
        </w:rPr>
        <w:t>:</w:t>
      </w:r>
    </w:p>
    <w:p w14:paraId="138BBE5B" w14:textId="77777777" w:rsidR="00104582" w:rsidRPr="002E7A81" w:rsidRDefault="00280707" w:rsidP="00104582">
      <w:pPr>
        <w:ind w:left="567"/>
        <w:jc w:val="both"/>
        <w:rPr>
          <w:rFonts w:ascii="Arial" w:hAnsi="Arial" w:cs="Arial"/>
          <w:szCs w:val="24"/>
          <w:lang w:val="en-US" w:eastAsia="ar-SA"/>
        </w:rPr>
      </w:pPr>
      <w:r w:rsidRPr="002E7A81">
        <w:rPr>
          <w:rFonts w:ascii="Arial" w:hAnsi="Arial" w:cs="Arial"/>
          <w:szCs w:val="24"/>
          <w:lang w:val="en-US" w:eastAsia="ar-SA"/>
        </w:rPr>
        <w:t>E</w:t>
      </w:r>
      <w:r w:rsidR="00104582" w:rsidRPr="002E7A81">
        <w:rPr>
          <w:rFonts w:ascii="Arial" w:hAnsi="Arial" w:cs="Arial"/>
          <w:szCs w:val="24"/>
          <w:lang w:val="en-US" w:eastAsia="ar-SA"/>
        </w:rPr>
        <w:t>xtensions</w:t>
      </w:r>
      <w:r w:rsidR="00C65A00" w:rsidRPr="002E7A81">
        <w:rPr>
          <w:rFonts w:ascii="Arial" w:hAnsi="Arial" w:cs="Arial"/>
          <w:szCs w:val="24"/>
          <w:lang w:val="en-US" w:eastAsia="ar-SA"/>
        </w:rPr>
        <w:t>,</w:t>
      </w:r>
      <w:r w:rsidR="00104582" w:rsidRPr="002E7A81">
        <w:rPr>
          <w:rFonts w:ascii="Arial" w:hAnsi="Arial" w:cs="Arial"/>
          <w:szCs w:val="24"/>
          <w:lang w:val="en-US" w:eastAsia="ar-SA"/>
        </w:rPr>
        <w:t xml:space="preserve"> </w:t>
      </w:r>
      <w:r w:rsidR="00797529" w:rsidRPr="002E7A81">
        <w:rPr>
          <w:rFonts w:ascii="Arial" w:hAnsi="Arial" w:cs="Arial"/>
          <w:szCs w:val="24"/>
          <w:lang w:val="en-US" w:eastAsia="ar-SA"/>
        </w:rPr>
        <w:t>or alterations</w:t>
      </w:r>
      <w:r w:rsidR="00C65A00" w:rsidRPr="002E7A81">
        <w:rPr>
          <w:rFonts w:ascii="Arial" w:hAnsi="Arial" w:cs="Arial"/>
          <w:szCs w:val="24"/>
          <w:lang w:val="en-US" w:eastAsia="ar-SA"/>
        </w:rPr>
        <w:t>,</w:t>
      </w:r>
      <w:r w:rsidR="00797529" w:rsidRPr="002E7A81">
        <w:rPr>
          <w:rFonts w:ascii="Arial" w:hAnsi="Arial" w:cs="Arial"/>
          <w:szCs w:val="24"/>
          <w:lang w:val="en-US" w:eastAsia="ar-SA"/>
        </w:rPr>
        <w:t xml:space="preserve"> </w:t>
      </w:r>
      <w:r w:rsidR="00104582" w:rsidRPr="002E7A81">
        <w:rPr>
          <w:rFonts w:ascii="Arial" w:hAnsi="Arial" w:cs="Arial"/>
          <w:szCs w:val="24"/>
          <w:lang w:val="en-US" w:eastAsia="ar-SA"/>
        </w:rPr>
        <w:t>to domestic properties</w:t>
      </w:r>
      <w:r w:rsidR="00754D6C" w:rsidRPr="002E7A81">
        <w:rPr>
          <w:rFonts w:ascii="Arial" w:hAnsi="Arial" w:cs="Arial"/>
          <w:szCs w:val="24"/>
          <w:lang w:val="en-US" w:eastAsia="ar-SA"/>
        </w:rPr>
        <w:t xml:space="preserve"> within the DSB;</w:t>
      </w:r>
    </w:p>
    <w:p w14:paraId="731254F7" w14:textId="77777777" w:rsidR="00754D6C" w:rsidRPr="002E7A81" w:rsidRDefault="005C2EF0" w:rsidP="00104582">
      <w:pPr>
        <w:ind w:left="567"/>
        <w:jc w:val="both"/>
        <w:rPr>
          <w:rFonts w:ascii="Arial" w:hAnsi="Arial" w:cs="Arial"/>
          <w:szCs w:val="24"/>
          <w:lang w:val="en-US" w:eastAsia="ar-SA"/>
        </w:rPr>
      </w:pPr>
      <w:r w:rsidRPr="002E7A81">
        <w:rPr>
          <w:rFonts w:ascii="Arial" w:hAnsi="Arial" w:cs="Arial"/>
          <w:szCs w:val="24"/>
          <w:lang w:val="en-US" w:eastAsia="ar-SA"/>
        </w:rPr>
        <w:t>Minor a</w:t>
      </w:r>
      <w:r w:rsidR="00AA1CC7" w:rsidRPr="002E7A81">
        <w:rPr>
          <w:rFonts w:ascii="Arial" w:hAnsi="Arial" w:cs="Arial"/>
          <w:szCs w:val="24"/>
          <w:lang w:val="en-US" w:eastAsia="ar-SA"/>
        </w:rPr>
        <w:t>lterations to means of access within the DSB</w:t>
      </w:r>
      <w:r w:rsidR="00D11589" w:rsidRPr="002E7A81">
        <w:rPr>
          <w:rFonts w:ascii="Arial" w:hAnsi="Arial" w:cs="Arial"/>
          <w:szCs w:val="24"/>
          <w:lang w:val="en-US" w:eastAsia="ar-SA"/>
        </w:rPr>
        <w:t>;</w:t>
      </w:r>
      <w:r w:rsidR="0068502A" w:rsidRPr="002E7A81">
        <w:rPr>
          <w:rFonts w:ascii="Arial" w:hAnsi="Arial" w:cs="Arial"/>
          <w:szCs w:val="24"/>
          <w:lang w:val="en-US" w:eastAsia="ar-SA"/>
        </w:rPr>
        <w:t xml:space="preserve"> </w:t>
      </w:r>
    </w:p>
    <w:p w14:paraId="21527281" w14:textId="77777777" w:rsidR="00EF6AA5" w:rsidRPr="002E7A81" w:rsidRDefault="00AC3E8B" w:rsidP="00104582">
      <w:pPr>
        <w:ind w:left="567"/>
        <w:jc w:val="both"/>
        <w:rPr>
          <w:rFonts w:ascii="Arial" w:hAnsi="Arial" w:cs="Arial"/>
          <w:szCs w:val="24"/>
          <w:lang w:val="en-US" w:eastAsia="ar-SA"/>
        </w:rPr>
      </w:pPr>
      <w:r w:rsidRPr="002E7A81">
        <w:rPr>
          <w:rFonts w:ascii="Arial" w:hAnsi="Arial" w:cs="Arial"/>
          <w:szCs w:val="24"/>
          <w:lang w:val="en-US" w:eastAsia="ar-SA"/>
        </w:rPr>
        <w:t>Minor</w:t>
      </w:r>
      <w:r w:rsidR="0068502A" w:rsidRPr="002E7A81">
        <w:rPr>
          <w:rFonts w:ascii="Arial" w:hAnsi="Arial" w:cs="Arial"/>
          <w:szCs w:val="24"/>
          <w:lang w:val="en-US" w:eastAsia="ar-SA"/>
        </w:rPr>
        <w:t xml:space="preserve"> </w:t>
      </w:r>
      <w:r w:rsidR="00EF6AA5" w:rsidRPr="002E7A81">
        <w:rPr>
          <w:rFonts w:ascii="Arial" w:hAnsi="Arial" w:cs="Arial"/>
          <w:szCs w:val="24"/>
          <w:lang w:val="en-US" w:eastAsia="ar-SA"/>
        </w:rPr>
        <w:t>commercial applications;</w:t>
      </w:r>
    </w:p>
    <w:p w14:paraId="72FF928E" w14:textId="77777777" w:rsidR="00D11589" w:rsidRPr="002E7A81" w:rsidRDefault="00EF6AA5" w:rsidP="00104582">
      <w:pPr>
        <w:ind w:left="567"/>
        <w:jc w:val="both"/>
        <w:rPr>
          <w:rFonts w:ascii="Arial" w:hAnsi="Arial" w:cs="Arial"/>
          <w:szCs w:val="24"/>
          <w:lang w:val="en-US" w:eastAsia="ar-SA"/>
        </w:rPr>
      </w:pPr>
      <w:r w:rsidRPr="002E7A81">
        <w:rPr>
          <w:rFonts w:ascii="Arial" w:hAnsi="Arial" w:cs="Arial"/>
          <w:szCs w:val="24"/>
          <w:lang w:val="en-US" w:eastAsia="ar-SA"/>
        </w:rPr>
        <w:t xml:space="preserve">Minor </w:t>
      </w:r>
      <w:r w:rsidR="0068502A" w:rsidRPr="002E7A81">
        <w:rPr>
          <w:rFonts w:ascii="Arial" w:hAnsi="Arial" w:cs="Arial"/>
          <w:szCs w:val="24"/>
          <w:lang w:val="en-US" w:eastAsia="ar-SA"/>
        </w:rPr>
        <w:t>development for an established farming use</w:t>
      </w:r>
      <w:r w:rsidR="00D11589" w:rsidRPr="002E7A81">
        <w:rPr>
          <w:rFonts w:ascii="Arial" w:hAnsi="Arial" w:cs="Arial"/>
          <w:szCs w:val="24"/>
          <w:lang w:val="en-US" w:eastAsia="ar-SA"/>
        </w:rPr>
        <w:t>, and</w:t>
      </w:r>
    </w:p>
    <w:p w14:paraId="51A64DAB" w14:textId="77777777" w:rsidR="0068502A" w:rsidRPr="002E7A81" w:rsidRDefault="00D11589" w:rsidP="00104582">
      <w:pPr>
        <w:ind w:left="567"/>
        <w:jc w:val="both"/>
        <w:rPr>
          <w:rFonts w:ascii="Arial" w:hAnsi="Arial" w:cs="Arial"/>
          <w:szCs w:val="24"/>
          <w:lang w:val="en-US" w:eastAsia="ar-SA"/>
        </w:rPr>
      </w:pPr>
      <w:r w:rsidRPr="002E7A81">
        <w:rPr>
          <w:rFonts w:ascii="Arial" w:hAnsi="Arial" w:cs="Arial"/>
          <w:szCs w:val="24"/>
          <w:lang w:val="en-US" w:eastAsia="ar-SA"/>
        </w:rPr>
        <w:t>Minor “Changes of Use” of land or buildings</w:t>
      </w:r>
      <w:r w:rsidR="00280707" w:rsidRPr="002E7A81">
        <w:rPr>
          <w:rFonts w:ascii="Arial" w:hAnsi="Arial" w:cs="Arial"/>
          <w:szCs w:val="24"/>
          <w:lang w:val="en-US" w:eastAsia="ar-SA"/>
        </w:rPr>
        <w:t>.</w:t>
      </w:r>
    </w:p>
    <w:p w14:paraId="73FE6B2A" w14:textId="77777777" w:rsidR="00754D6C"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AA1CC7" w:rsidRPr="002E7A81">
        <w:rPr>
          <w:rFonts w:ascii="Arial" w:hAnsi="Arial" w:cs="Arial"/>
          <w:b/>
          <w:szCs w:val="24"/>
          <w:lang w:val="en-US" w:eastAsia="ar-SA"/>
        </w:rPr>
        <w:tab/>
      </w:r>
      <w:r w:rsidR="00DA04FD" w:rsidRPr="002E7A81">
        <w:rPr>
          <w:rFonts w:ascii="Arial" w:hAnsi="Arial" w:cs="Arial"/>
          <w:b/>
          <w:szCs w:val="24"/>
          <w:lang w:val="en-US" w:eastAsia="ar-SA"/>
        </w:rPr>
        <w:t>High Impact</w:t>
      </w:r>
      <w:r w:rsidR="00AA1CC7" w:rsidRPr="002E7A81">
        <w:rPr>
          <w:rFonts w:ascii="Arial" w:hAnsi="Arial" w:cs="Arial"/>
          <w:szCs w:val="24"/>
          <w:lang w:val="en-US" w:eastAsia="ar-SA"/>
        </w:rPr>
        <w:t xml:space="preserve"> a</w:t>
      </w:r>
      <w:r w:rsidR="00754D6C" w:rsidRPr="002E7A81">
        <w:rPr>
          <w:rFonts w:ascii="Arial" w:hAnsi="Arial" w:cs="Arial"/>
          <w:szCs w:val="24"/>
          <w:lang w:val="en-US" w:eastAsia="ar-SA"/>
        </w:rPr>
        <w:t>pplications</w:t>
      </w:r>
      <w:r w:rsidR="00AA1CC7" w:rsidRPr="002E7A81">
        <w:rPr>
          <w:rFonts w:ascii="Arial" w:hAnsi="Arial" w:cs="Arial"/>
          <w:szCs w:val="24"/>
          <w:lang w:val="en-US" w:eastAsia="ar-SA"/>
        </w:rPr>
        <w:t xml:space="preserve"> </w:t>
      </w:r>
      <w:r w:rsidR="00FD3E6B" w:rsidRPr="002E7A81">
        <w:rPr>
          <w:rFonts w:ascii="Arial" w:hAnsi="Arial" w:cs="Arial"/>
          <w:szCs w:val="24"/>
          <w:lang w:val="en-US" w:eastAsia="ar-SA"/>
        </w:rPr>
        <w:t xml:space="preserve">would be ones </w:t>
      </w:r>
      <w:r w:rsidR="00AA1CC7" w:rsidRPr="002E7A81">
        <w:rPr>
          <w:rFonts w:ascii="Arial" w:hAnsi="Arial" w:cs="Arial"/>
          <w:szCs w:val="24"/>
          <w:lang w:val="en-US" w:eastAsia="ar-SA"/>
        </w:rPr>
        <w:t xml:space="preserve">normally </w:t>
      </w:r>
      <w:r w:rsidR="00DA04FD" w:rsidRPr="002E7A81">
        <w:rPr>
          <w:rFonts w:ascii="Arial" w:hAnsi="Arial" w:cs="Arial"/>
          <w:szCs w:val="24"/>
          <w:lang w:val="en-US" w:eastAsia="ar-SA"/>
        </w:rPr>
        <w:t>involving</w:t>
      </w:r>
      <w:r w:rsidR="00AA1CC7" w:rsidRPr="002E7A81">
        <w:rPr>
          <w:rFonts w:ascii="Arial" w:hAnsi="Arial" w:cs="Arial"/>
          <w:szCs w:val="24"/>
          <w:lang w:val="en-US" w:eastAsia="ar-SA"/>
        </w:rPr>
        <w:t>:</w:t>
      </w:r>
    </w:p>
    <w:p w14:paraId="0262267E" w14:textId="77777777" w:rsidR="00C3657D" w:rsidRPr="002E7A81" w:rsidRDefault="008D28DB" w:rsidP="00AA1CC7">
      <w:pPr>
        <w:ind w:left="567"/>
        <w:jc w:val="both"/>
        <w:rPr>
          <w:rFonts w:ascii="Arial" w:hAnsi="Arial" w:cs="Arial"/>
          <w:szCs w:val="24"/>
          <w:lang w:val="en-US" w:eastAsia="ar-SA"/>
        </w:rPr>
      </w:pPr>
      <w:r w:rsidRPr="002E7A81">
        <w:rPr>
          <w:rFonts w:ascii="Arial" w:hAnsi="Arial" w:cs="Arial"/>
          <w:szCs w:val="24"/>
          <w:lang w:val="en-US" w:eastAsia="ar-SA"/>
        </w:rPr>
        <w:t>Single</w:t>
      </w:r>
      <w:r w:rsidR="002B156F" w:rsidRPr="002E7A81">
        <w:rPr>
          <w:rFonts w:ascii="Arial" w:hAnsi="Arial" w:cs="Arial"/>
          <w:szCs w:val="24"/>
          <w:vertAlign w:val="superscript"/>
          <w:lang w:val="en-US" w:eastAsia="ar-SA"/>
        </w:rPr>
        <w:t>§</w:t>
      </w:r>
      <w:r w:rsidRPr="002E7A81">
        <w:rPr>
          <w:rFonts w:ascii="Arial" w:hAnsi="Arial" w:cs="Arial"/>
          <w:szCs w:val="24"/>
          <w:lang w:val="en-US" w:eastAsia="ar-SA"/>
        </w:rPr>
        <w:t xml:space="preserve"> or m</w:t>
      </w:r>
      <w:r w:rsidR="00C3657D" w:rsidRPr="002E7A81">
        <w:rPr>
          <w:rFonts w:ascii="Arial" w:hAnsi="Arial" w:cs="Arial"/>
          <w:szCs w:val="24"/>
          <w:lang w:val="en-US" w:eastAsia="ar-SA"/>
        </w:rPr>
        <w:t>ultiple new build dwellings within the DSB;</w:t>
      </w:r>
    </w:p>
    <w:p w14:paraId="0A6B698C" w14:textId="77777777" w:rsidR="00C3657D" w:rsidRPr="002E7A81" w:rsidRDefault="00C3657D" w:rsidP="00AA1CC7">
      <w:pPr>
        <w:ind w:left="567"/>
        <w:jc w:val="both"/>
        <w:rPr>
          <w:rFonts w:ascii="Arial" w:hAnsi="Arial" w:cs="Arial"/>
          <w:szCs w:val="24"/>
          <w:lang w:val="en-US" w:eastAsia="ar-SA"/>
        </w:rPr>
      </w:pPr>
      <w:r w:rsidRPr="002E7A81">
        <w:rPr>
          <w:rFonts w:ascii="Arial" w:hAnsi="Arial" w:cs="Arial"/>
          <w:szCs w:val="24"/>
          <w:lang w:val="en-US" w:eastAsia="ar-SA"/>
        </w:rPr>
        <w:t>Extensions</w:t>
      </w:r>
      <w:r w:rsidR="00400925" w:rsidRPr="002E7A81">
        <w:rPr>
          <w:rFonts w:ascii="Arial" w:hAnsi="Arial" w:cs="Arial"/>
          <w:szCs w:val="24"/>
          <w:lang w:val="en-US" w:eastAsia="ar-SA"/>
        </w:rPr>
        <w:t xml:space="preserve"> to domestic properties greater than </w:t>
      </w:r>
      <w:r w:rsidR="00091A62" w:rsidRPr="002E7A81">
        <w:rPr>
          <w:rFonts w:ascii="Arial" w:hAnsi="Arial" w:cs="Arial"/>
          <w:szCs w:val="24"/>
          <w:lang w:val="en-US" w:eastAsia="ar-SA"/>
        </w:rPr>
        <w:t>“</w:t>
      </w:r>
      <w:r w:rsidR="00400925" w:rsidRPr="002E7A81">
        <w:rPr>
          <w:rFonts w:ascii="Arial" w:hAnsi="Arial" w:cs="Arial"/>
          <w:szCs w:val="24"/>
          <w:lang w:val="en-US" w:eastAsia="ar-SA"/>
        </w:rPr>
        <w:t>Permitted Development</w:t>
      </w:r>
      <w:r w:rsidR="00091A62" w:rsidRPr="002E7A81">
        <w:rPr>
          <w:rFonts w:ascii="Arial" w:hAnsi="Arial" w:cs="Arial"/>
          <w:szCs w:val="24"/>
          <w:lang w:val="en-US" w:eastAsia="ar-SA"/>
        </w:rPr>
        <w:t>”</w:t>
      </w:r>
      <w:r w:rsidR="00400925" w:rsidRPr="002E7A81">
        <w:rPr>
          <w:rFonts w:ascii="Arial" w:hAnsi="Arial" w:cs="Arial"/>
          <w:szCs w:val="24"/>
          <w:lang w:val="en-US" w:eastAsia="ar-SA"/>
        </w:rPr>
        <w:t xml:space="preserve"> rules outside the DSB;</w:t>
      </w:r>
    </w:p>
    <w:p w14:paraId="55BCD50F" w14:textId="77777777" w:rsidR="00104582" w:rsidRPr="002E7A81" w:rsidRDefault="00D11589" w:rsidP="00AA1CC7">
      <w:pPr>
        <w:ind w:left="567"/>
        <w:jc w:val="both"/>
        <w:rPr>
          <w:rFonts w:ascii="Arial" w:hAnsi="Arial" w:cs="Arial"/>
          <w:szCs w:val="24"/>
          <w:lang w:val="en-US" w:eastAsia="ar-SA"/>
        </w:rPr>
      </w:pPr>
      <w:r w:rsidRPr="002E7A81">
        <w:rPr>
          <w:rFonts w:ascii="Arial" w:hAnsi="Arial" w:cs="Arial"/>
          <w:szCs w:val="24"/>
          <w:lang w:val="en-US" w:eastAsia="ar-SA"/>
        </w:rPr>
        <w:t>Significant c</w:t>
      </w:r>
      <w:r w:rsidR="00AA1CC7" w:rsidRPr="002E7A81">
        <w:rPr>
          <w:rFonts w:ascii="Arial" w:hAnsi="Arial" w:cs="Arial"/>
          <w:szCs w:val="24"/>
          <w:lang w:val="en-US" w:eastAsia="ar-SA"/>
        </w:rPr>
        <w:t>ommercial applications within or outside the DSB;</w:t>
      </w:r>
    </w:p>
    <w:p w14:paraId="48468FEF" w14:textId="77777777" w:rsidR="00B546CC" w:rsidRPr="002E7A81" w:rsidRDefault="00B546CC" w:rsidP="00AA1CC7">
      <w:pPr>
        <w:ind w:left="567"/>
        <w:jc w:val="both"/>
        <w:rPr>
          <w:rFonts w:ascii="Arial" w:hAnsi="Arial" w:cs="Arial"/>
          <w:szCs w:val="24"/>
          <w:lang w:val="en-US" w:eastAsia="ar-SA"/>
        </w:rPr>
      </w:pPr>
      <w:r w:rsidRPr="002E7A81">
        <w:rPr>
          <w:rFonts w:ascii="Arial" w:hAnsi="Arial" w:cs="Arial"/>
          <w:szCs w:val="24"/>
          <w:lang w:val="en-US" w:eastAsia="ar-SA"/>
        </w:rPr>
        <w:t>Alterations to a means of access outside the DSB</w:t>
      </w:r>
      <w:r w:rsidR="005C2EF0" w:rsidRPr="002E7A81">
        <w:rPr>
          <w:rFonts w:ascii="Arial" w:hAnsi="Arial" w:cs="Arial"/>
          <w:szCs w:val="24"/>
          <w:lang w:val="en-US" w:eastAsia="ar-SA"/>
        </w:rPr>
        <w:t xml:space="preserve">, or </w:t>
      </w:r>
      <w:r w:rsidR="00AC3E8B" w:rsidRPr="002E7A81">
        <w:rPr>
          <w:rFonts w:ascii="Arial" w:hAnsi="Arial" w:cs="Arial"/>
          <w:szCs w:val="24"/>
          <w:lang w:val="en-US" w:eastAsia="ar-SA"/>
        </w:rPr>
        <w:t>significant</w:t>
      </w:r>
      <w:r w:rsidR="005C2EF0" w:rsidRPr="002E7A81">
        <w:rPr>
          <w:rFonts w:ascii="Arial" w:hAnsi="Arial" w:cs="Arial"/>
          <w:szCs w:val="24"/>
          <w:lang w:val="en-US" w:eastAsia="ar-SA"/>
        </w:rPr>
        <w:t xml:space="preserve"> alterations </w:t>
      </w:r>
      <w:r w:rsidR="00091A62" w:rsidRPr="002E7A81">
        <w:rPr>
          <w:rFonts w:ascii="Arial" w:hAnsi="Arial" w:cs="Arial"/>
          <w:szCs w:val="24"/>
          <w:lang w:val="en-US" w:eastAsia="ar-SA"/>
        </w:rPr>
        <w:t xml:space="preserve">to a means of access </w:t>
      </w:r>
      <w:r w:rsidR="005C2EF0" w:rsidRPr="002E7A81">
        <w:rPr>
          <w:rFonts w:ascii="Arial" w:hAnsi="Arial" w:cs="Arial"/>
          <w:szCs w:val="24"/>
          <w:lang w:val="en-US" w:eastAsia="ar-SA"/>
        </w:rPr>
        <w:t xml:space="preserve">within </w:t>
      </w:r>
      <w:r w:rsidR="00091A62" w:rsidRPr="002E7A81">
        <w:rPr>
          <w:rFonts w:ascii="Arial" w:hAnsi="Arial" w:cs="Arial"/>
          <w:szCs w:val="24"/>
          <w:lang w:val="en-US" w:eastAsia="ar-SA"/>
        </w:rPr>
        <w:t>the DSB</w:t>
      </w:r>
      <w:r w:rsidRPr="002E7A81">
        <w:rPr>
          <w:rFonts w:ascii="Arial" w:hAnsi="Arial" w:cs="Arial"/>
          <w:szCs w:val="24"/>
          <w:lang w:val="en-US" w:eastAsia="ar-SA"/>
        </w:rPr>
        <w:t>;</w:t>
      </w:r>
    </w:p>
    <w:p w14:paraId="560C992B" w14:textId="77777777" w:rsidR="00B546CC" w:rsidRPr="002E7A81" w:rsidRDefault="00C3657D" w:rsidP="00AA1CC7">
      <w:pPr>
        <w:ind w:left="567"/>
        <w:jc w:val="both"/>
        <w:rPr>
          <w:rFonts w:ascii="Arial" w:hAnsi="Arial" w:cs="Arial"/>
          <w:szCs w:val="24"/>
          <w:lang w:val="en-US" w:eastAsia="ar-SA"/>
        </w:rPr>
      </w:pPr>
      <w:r w:rsidRPr="002E7A81">
        <w:rPr>
          <w:rFonts w:ascii="Arial" w:hAnsi="Arial" w:cs="Arial"/>
          <w:szCs w:val="24"/>
          <w:lang w:val="en-US" w:eastAsia="ar-SA"/>
        </w:rPr>
        <w:t>New build dwellings outside the DSB</w:t>
      </w:r>
      <w:r w:rsidR="00850507" w:rsidRPr="002E7A81">
        <w:rPr>
          <w:rFonts w:ascii="Arial" w:hAnsi="Arial" w:cs="Arial"/>
          <w:szCs w:val="24"/>
          <w:lang w:val="en-US" w:eastAsia="ar-SA"/>
        </w:rPr>
        <w:t>;</w:t>
      </w:r>
    </w:p>
    <w:p w14:paraId="3C5CDC31" w14:textId="77777777" w:rsidR="00850507" w:rsidRPr="002E7A81" w:rsidRDefault="00850507" w:rsidP="00AA1CC7">
      <w:pPr>
        <w:ind w:left="567"/>
        <w:jc w:val="both"/>
        <w:rPr>
          <w:rFonts w:ascii="Arial" w:hAnsi="Arial" w:cs="Arial"/>
          <w:szCs w:val="24"/>
          <w:lang w:val="en-US" w:eastAsia="ar-SA"/>
        </w:rPr>
      </w:pPr>
      <w:r w:rsidRPr="002E7A81">
        <w:rPr>
          <w:rFonts w:ascii="Arial" w:hAnsi="Arial" w:cs="Arial"/>
          <w:szCs w:val="24"/>
          <w:lang w:val="en-US" w:eastAsia="ar-SA"/>
        </w:rPr>
        <w:t>Alterations to a Public Right of Way, and</w:t>
      </w:r>
    </w:p>
    <w:p w14:paraId="517807E9" w14:textId="77777777" w:rsidR="00400925" w:rsidRPr="002E7A81" w:rsidRDefault="00091A62" w:rsidP="00AA1CC7">
      <w:pPr>
        <w:ind w:left="567"/>
        <w:jc w:val="both"/>
        <w:rPr>
          <w:rFonts w:ascii="Arial" w:hAnsi="Arial" w:cs="Arial"/>
          <w:szCs w:val="24"/>
          <w:lang w:val="en-US" w:eastAsia="ar-SA"/>
        </w:rPr>
      </w:pPr>
      <w:r w:rsidRPr="002E7A81">
        <w:rPr>
          <w:rFonts w:ascii="Arial" w:hAnsi="Arial" w:cs="Arial"/>
          <w:szCs w:val="24"/>
          <w:lang w:val="en-US" w:eastAsia="ar-SA"/>
        </w:rPr>
        <w:t>Significant “Changes of U</w:t>
      </w:r>
      <w:r w:rsidR="00400925" w:rsidRPr="002E7A81">
        <w:rPr>
          <w:rFonts w:ascii="Arial" w:hAnsi="Arial" w:cs="Arial"/>
          <w:szCs w:val="24"/>
          <w:lang w:val="en-US" w:eastAsia="ar-SA"/>
        </w:rPr>
        <w:t>se</w:t>
      </w:r>
      <w:r w:rsidRPr="002E7A81">
        <w:rPr>
          <w:rFonts w:ascii="Arial" w:hAnsi="Arial" w:cs="Arial"/>
          <w:szCs w:val="24"/>
          <w:lang w:val="en-US" w:eastAsia="ar-SA"/>
        </w:rPr>
        <w:t>”</w:t>
      </w:r>
      <w:r w:rsidR="00400925" w:rsidRPr="002E7A81">
        <w:rPr>
          <w:rFonts w:ascii="Arial" w:hAnsi="Arial" w:cs="Arial"/>
          <w:szCs w:val="24"/>
          <w:lang w:val="en-US" w:eastAsia="ar-SA"/>
        </w:rPr>
        <w:t xml:space="preserve"> of land or buildings.</w:t>
      </w:r>
    </w:p>
    <w:p w14:paraId="04D453C2" w14:textId="77777777" w:rsidR="008B5629"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8B5629" w:rsidRPr="002E7A81">
        <w:rPr>
          <w:rFonts w:ascii="Arial" w:hAnsi="Arial" w:cs="Arial"/>
          <w:szCs w:val="24"/>
          <w:lang w:val="en-US" w:eastAsia="ar-SA"/>
        </w:rPr>
        <w:tab/>
      </w:r>
      <w:r w:rsidR="00280707" w:rsidRPr="002E7A81">
        <w:rPr>
          <w:rFonts w:ascii="Arial" w:hAnsi="Arial" w:cs="Arial"/>
          <w:szCs w:val="24"/>
          <w:lang w:val="en-US" w:eastAsia="ar-SA"/>
        </w:rPr>
        <w:t>Included</w:t>
      </w:r>
      <w:r w:rsidR="005E6A18" w:rsidRPr="002E7A81">
        <w:rPr>
          <w:rFonts w:ascii="Arial" w:hAnsi="Arial" w:cs="Arial"/>
          <w:szCs w:val="24"/>
          <w:lang w:val="en-US" w:eastAsia="ar-SA"/>
        </w:rPr>
        <w:t xml:space="preserve"> </w:t>
      </w:r>
      <w:r w:rsidR="008B5629" w:rsidRPr="002E7A81">
        <w:rPr>
          <w:rFonts w:ascii="Arial" w:hAnsi="Arial" w:cs="Arial"/>
          <w:szCs w:val="24"/>
          <w:lang w:val="en-US" w:eastAsia="ar-SA"/>
        </w:rPr>
        <w:t xml:space="preserve">as being </w:t>
      </w:r>
      <w:r w:rsidR="00DA04FD" w:rsidRPr="002E7A81">
        <w:rPr>
          <w:rFonts w:ascii="Arial" w:hAnsi="Arial" w:cs="Arial"/>
          <w:szCs w:val="24"/>
          <w:lang w:val="en-US" w:eastAsia="ar-SA"/>
        </w:rPr>
        <w:t>high impact</w:t>
      </w:r>
      <w:r w:rsidR="008B5629" w:rsidRPr="002E7A81">
        <w:rPr>
          <w:rFonts w:ascii="Arial" w:hAnsi="Arial" w:cs="Arial"/>
          <w:szCs w:val="24"/>
          <w:lang w:val="en-US" w:eastAsia="ar-SA"/>
        </w:rPr>
        <w:t xml:space="preserve"> ha</w:t>
      </w:r>
      <w:r w:rsidR="00280707" w:rsidRPr="002E7A81">
        <w:rPr>
          <w:rFonts w:ascii="Arial" w:hAnsi="Arial" w:cs="Arial"/>
          <w:szCs w:val="24"/>
          <w:lang w:val="en-US" w:eastAsia="ar-SA"/>
        </w:rPr>
        <w:t>ving</w:t>
      </w:r>
      <w:r w:rsidR="008B5629" w:rsidRPr="002E7A81">
        <w:rPr>
          <w:rFonts w:ascii="Arial" w:hAnsi="Arial" w:cs="Arial"/>
          <w:szCs w:val="24"/>
          <w:lang w:val="en-US" w:eastAsia="ar-SA"/>
        </w:rPr>
        <w:t xml:space="preserve"> regard to the CLP</w:t>
      </w:r>
      <w:r w:rsidR="005E6A18" w:rsidRPr="002E7A81">
        <w:rPr>
          <w:rFonts w:ascii="Arial" w:hAnsi="Arial" w:cs="Arial"/>
          <w:szCs w:val="24"/>
          <w:lang w:val="en-US" w:eastAsia="ar-SA"/>
        </w:rPr>
        <w:t>.</w:t>
      </w:r>
    </w:p>
    <w:p w14:paraId="609DF258" w14:textId="77777777" w:rsidR="003570E6" w:rsidRPr="002E7A81" w:rsidRDefault="003570E6" w:rsidP="00BC59CA">
      <w:pPr>
        <w:spacing w:before="120"/>
        <w:jc w:val="both"/>
        <w:rPr>
          <w:rFonts w:ascii="Arial" w:hAnsi="Arial" w:cs="Arial"/>
          <w:szCs w:val="24"/>
          <w:lang w:val="en-US" w:eastAsia="ar-SA"/>
        </w:rPr>
      </w:pPr>
      <w:r w:rsidRPr="002E7A81">
        <w:rPr>
          <w:rFonts w:ascii="Arial" w:hAnsi="Arial" w:cs="Arial"/>
          <w:szCs w:val="24"/>
          <w:lang w:val="en-US" w:eastAsia="ar-SA"/>
        </w:rPr>
        <w:t xml:space="preserve">However, each application will be </w:t>
      </w:r>
      <w:r w:rsidR="00081B2F" w:rsidRPr="002E7A81">
        <w:rPr>
          <w:rFonts w:ascii="Arial" w:hAnsi="Arial" w:cs="Arial"/>
          <w:szCs w:val="24"/>
          <w:lang w:val="en-US" w:eastAsia="ar-SA"/>
        </w:rPr>
        <w:t>considered</w:t>
      </w:r>
      <w:r w:rsidR="00FA678F">
        <w:rPr>
          <w:rFonts w:ascii="Arial" w:hAnsi="Arial" w:cs="Arial"/>
          <w:szCs w:val="24"/>
          <w:lang w:val="en-US" w:eastAsia="ar-SA"/>
        </w:rPr>
        <w:t xml:space="preserve"> on its own merit</w:t>
      </w:r>
      <w:r w:rsidRPr="002E7A81">
        <w:rPr>
          <w:rFonts w:ascii="Arial" w:hAnsi="Arial" w:cs="Arial"/>
          <w:szCs w:val="24"/>
          <w:lang w:val="en-US" w:eastAsia="ar-SA"/>
        </w:rPr>
        <w:t xml:space="preserve"> and some proposals may </w:t>
      </w:r>
      <w:r w:rsidR="00EC6CB9" w:rsidRPr="002E7A81">
        <w:rPr>
          <w:rFonts w:ascii="Arial" w:hAnsi="Arial" w:cs="Arial"/>
          <w:szCs w:val="24"/>
          <w:lang w:val="en-US" w:eastAsia="ar-SA"/>
        </w:rPr>
        <w:t>(or may not)</w:t>
      </w:r>
      <w:r w:rsidRPr="002E7A81">
        <w:rPr>
          <w:rFonts w:ascii="Arial" w:hAnsi="Arial" w:cs="Arial"/>
          <w:szCs w:val="24"/>
          <w:lang w:val="en-US" w:eastAsia="ar-SA"/>
        </w:rPr>
        <w:t xml:space="preserve"> be </w:t>
      </w:r>
      <w:r w:rsidR="00DF1BFF" w:rsidRPr="002E7A81">
        <w:rPr>
          <w:rFonts w:ascii="Arial" w:hAnsi="Arial" w:cs="Arial"/>
          <w:szCs w:val="24"/>
          <w:lang w:val="en-US" w:eastAsia="ar-SA"/>
        </w:rPr>
        <w:t xml:space="preserve">considered </w:t>
      </w:r>
      <w:r w:rsidR="007C005F" w:rsidRPr="002E7A81">
        <w:rPr>
          <w:rFonts w:ascii="Arial" w:hAnsi="Arial" w:cs="Arial"/>
          <w:szCs w:val="24"/>
          <w:lang w:val="en-US" w:eastAsia="ar-SA"/>
        </w:rPr>
        <w:t xml:space="preserve">to be in </w:t>
      </w:r>
      <w:r w:rsidRPr="002E7A81">
        <w:rPr>
          <w:rFonts w:ascii="Arial" w:hAnsi="Arial" w:cs="Arial"/>
          <w:szCs w:val="24"/>
          <w:lang w:val="en-US" w:eastAsia="ar-SA"/>
        </w:rPr>
        <w:t>the interests of the</w:t>
      </w:r>
      <w:r w:rsidR="00111DEB" w:rsidRPr="002E7A81">
        <w:rPr>
          <w:rFonts w:ascii="Arial" w:hAnsi="Arial" w:cs="Arial"/>
          <w:szCs w:val="24"/>
          <w:lang w:val="en-US" w:eastAsia="ar-SA"/>
        </w:rPr>
        <w:t xml:space="preserve"> community</w:t>
      </w:r>
      <w:r w:rsidR="00700135" w:rsidRPr="002E7A81">
        <w:rPr>
          <w:rFonts w:ascii="Arial" w:hAnsi="Arial" w:cs="Arial"/>
          <w:szCs w:val="24"/>
          <w:lang w:val="en-US" w:eastAsia="ar-SA"/>
        </w:rPr>
        <w:t xml:space="preserve"> having regard to the CLP</w:t>
      </w:r>
      <w:r w:rsidR="00DF1BFF" w:rsidRPr="002E7A81">
        <w:rPr>
          <w:rFonts w:ascii="Arial" w:hAnsi="Arial" w:cs="Arial"/>
          <w:szCs w:val="24"/>
          <w:lang w:val="en-US" w:eastAsia="ar-SA"/>
        </w:rPr>
        <w:t>.</w:t>
      </w:r>
      <w:r w:rsidRPr="002E7A81">
        <w:rPr>
          <w:rFonts w:ascii="Arial" w:hAnsi="Arial" w:cs="Arial"/>
          <w:szCs w:val="24"/>
          <w:lang w:val="en-US" w:eastAsia="ar-SA"/>
        </w:rPr>
        <w:t xml:space="preserve"> </w:t>
      </w:r>
      <w:r w:rsidR="00CB706F" w:rsidRPr="002E7A81">
        <w:rPr>
          <w:rFonts w:ascii="Arial" w:hAnsi="Arial" w:cs="Arial"/>
          <w:szCs w:val="24"/>
          <w:lang w:val="en-US" w:eastAsia="ar-SA"/>
        </w:rPr>
        <w:t xml:space="preserve"> </w:t>
      </w:r>
    </w:p>
    <w:p w14:paraId="26671501" w14:textId="77777777" w:rsidR="00700135" w:rsidRPr="002E7A81" w:rsidRDefault="007670C0" w:rsidP="00DA1639">
      <w:pPr>
        <w:pStyle w:val="ListParagraph"/>
        <w:numPr>
          <w:ilvl w:val="0"/>
          <w:numId w:val="18"/>
        </w:numPr>
        <w:spacing w:before="240" w:after="120"/>
        <w:ind w:left="0" w:hanging="567"/>
        <w:jc w:val="both"/>
        <w:rPr>
          <w:rFonts w:ascii="Arial" w:hAnsi="Arial" w:cs="Arial"/>
          <w:b/>
          <w:szCs w:val="24"/>
          <w:lang w:val="en-US" w:eastAsia="ar-SA"/>
        </w:rPr>
      </w:pPr>
      <w:r w:rsidRPr="002E7A81">
        <w:rPr>
          <w:rFonts w:ascii="Arial" w:hAnsi="Arial" w:cs="Arial"/>
          <w:b/>
          <w:szCs w:val="24"/>
          <w:lang w:val="en-US" w:eastAsia="ar-SA"/>
        </w:rPr>
        <w:t>Pre Application Advice</w:t>
      </w:r>
    </w:p>
    <w:p w14:paraId="5B9D8494" w14:textId="77777777" w:rsidR="007670C0" w:rsidRPr="002E7A81" w:rsidRDefault="007670C0" w:rsidP="005668DF">
      <w:pPr>
        <w:spacing w:before="120"/>
        <w:jc w:val="both"/>
        <w:rPr>
          <w:rFonts w:ascii="Arial" w:hAnsi="Arial" w:cs="Arial"/>
          <w:szCs w:val="24"/>
          <w:lang w:val="en-US" w:eastAsia="ar-SA"/>
        </w:rPr>
      </w:pPr>
      <w:r w:rsidRPr="002E7A81">
        <w:rPr>
          <w:rFonts w:ascii="Arial" w:hAnsi="Arial" w:cs="Arial"/>
          <w:szCs w:val="24"/>
          <w:lang w:val="en-US" w:eastAsia="ar-SA"/>
        </w:rPr>
        <w:t>Where the Council is approached fo</w:t>
      </w:r>
      <w:r w:rsidR="00660A44" w:rsidRPr="002E7A81">
        <w:rPr>
          <w:rFonts w:ascii="Arial" w:hAnsi="Arial" w:cs="Arial"/>
          <w:szCs w:val="24"/>
          <w:lang w:val="en-US" w:eastAsia="ar-SA"/>
        </w:rPr>
        <w:t>r opinion or advice prior to a Planning A</w:t>
      </w:r>
      <w:r w:rsidRPr="002E7A81">
        <w:rPr>
          <w:rFonts w:ascii="Arial" w:hAnsi="Arial" w:cs="Arial"/>
          <w:szCs w:val="24"/>
          <w:lang w:val="en-US" w:eastAsia="ar-SA"/>
        </w:rPr>
        <w:t xml:space="preserve">pplication being made, the potential applicant will be advised to refer to the FoDDC </w:t>
      </w:r>
      <w:r w:rsidR="00FB70E0" w:rsidRPr="002E7A81">
        <w:rPr>
          <w:rFonts w:ascii="Arial" w:hAnsi="Arial" w:cs="Arial"/>
          <w:szCs w:val="24"/>
          <w:lang w:val="en-US" w:eastAsia="ar-SA"/>
        </w:rPr>
        <w:t>or a Planning Consultant, and they will be advised of this Policy.</w:t>
      </w:r>
    </w:p>
    <w:p w14:paraId="44F40AF7" w14:textId="77777777" w:rsidR="00642042" w:rsidRPr="002E7A81" w:rsidRDefault="00642042" w:rsidP="00DA1639">
      <w:pPr>
        <w:pStyle w:val="ListParagraph"/>
        <w:numPr>
          <w:ilvl w:val="0"/>
          <w:numId w:val="18"/>
        </w:numPr>
        <w:spacing w:before="240" w:after="120"/>
        <w:ind w:left="0" w:hanging="567"/>
        <w:rPr>
          <w:rFonts w:ascii="Arial" w:hAnsi="Arial" w:cs="Arial"/>
          <w:b/>
          <w:szCs w:val="24"/>
          <w:lang w:val="en-US" w:eastAsia="ar-SA"/>
        </w:rPr>
      </w:pPr>
      <w:r w:rsidRPr="002E7A81">
        <w:rPr>
          <w:rFonts w:ascii="Arial" w:hAnsi="Arial" w:cs="Arial"/>
          <w:b/>
        </w:rPr>
        <w:t>Authority under this Policy</w:t>
      </w:r>
      <w:r w:rsidRPr="002E7A81">
        <w:rPr>
          <w:rFonts w:ascii="Arial" w:hAnsi="Arial" w:cs="Arial"/>
          <w:b/>
          <w:szCs w:val="24"/>
          <w:lang w:val="en-US" w:eastAsia="ar-SA"/>
        </w:rPr>
        <w:t>:</w:t>
      </w:r>
    </w:p>
    <w:p w14:paraId="61558078" w14:textId="77777777" w:rsidR="00642042" w:rsidRPr="002E7A81" w:rsidRDefault="00642042" w:rsidP="00642042">
      <w:pPr>
        <w:spacing w:before="120"/>
        <w:ind w:right="45"/>
        <w:jc w:val="both"/>
        <w:rPr>
          <w:rFonts w:ascii="Arial" w:hAnsi="Arial" w:cs="Arial"/>
          <w:szCs w:val="24"/>
          <w:lang w:val="en-US" w:eastAsia="ar-SA"/>
        </w:rPr>
      </w:pPr>
      <w:r w:rsidRPr="002E7A81">
        <w:rPr>
          <w:rFonts w:ascii="Arial" w:hAnsi="Arial" w:cs="Arial"/>
          <w:szCs w:val="24"/>
          <w:lang w:val="en-US" w:eastAsia="ar-SA"/>
        </w:rPr>
        <w:t xml:space="preserve">For the avoidance of doubt </w:t>
      </w:r>
      <w:r w:rsidR="005736FA" w:rsidRPr="002E7A81">
        <w:rPr>
          <w:rFonts w:ascii="Arial" w:hAnsi="Arial" w:cs="Arial"/>
          <w:szCs w:val="24"/>
          <w:lang w:val="en-US" w:eastAsia="ar-SA"/>
        </w:rPr>
        <w:t>the</w:t>
      </w:r>
      <w:r w:rsidRPr="002E7A81">
        <w:rPr>
          <w:rFonts w:ascii="Arial" w:hAnsi="Arial" w:cs="Arial"/>
          <w:szCs w:val="24"/>
          <w:lang w:val="en-US" w:eastAsia="ar-SA"/>
        </w:rPr>
        <w:t xml:space="preserve"> Officer Responsible:</w:t>
      </w:r>
    </w:p>
    <w:p w14:paraId="282E5429" w14:textId="77777777" w:rsidR="00642042" w:rsidRPr="00D42007" w:rsidRDefault="00642042" w:rsidP="00642042">
      <w:pPr>
        <w:pStyle w:val="ListParagraph"/>
        <w:numPr>
          <w:ilvl w:val="0"/>
          <w:numId w:val="24"/>
        </w:numPr>
        <w:spacing w:before="120"/>
        <w:ind w:left="567" w:right="45" w:hanging="567"/>
        <w:jc w:val="both"/>
        <w:rPr>
          <w:rFonts w:ascii="Arial" w:hAnsi="Arial" w:cs="Arial"/>
          <w:szCs w:val="24"/>
          <w:lang w:val="en-US" w:eastAsia="ar-SA"/>
        </w:rPr>
      </w:pPr>
      <w:r w:rsidRPr="00D42007">
        <w:rPr>
          <w:rFonts w:ascii="Arial" w:hAnsi="Arial" w:cs="Arial"/>
          <w:szCs w:val="24"/>
          <w:lang w:val="en-US" w:eastAsia="ar-SA"/>
        </w:rPr>
        <w:t xml:space="preserve">and any support person relevant </w:t>
      </w:r>
      <w:r w:rsidR="00335A54" w:rsidRPr="00D42007">
        <w:rPr>
          <w:rFonts w:ascii="Arial" w:hAnsi="Arial" w:cs="Arial"/>
          <w:szCs w:val="24"/>
          <w:lang w:val="en-US" w:eastAsia="ar-SA"/>
        </w:rPr>
        <w:t xml:space="preserve">to the planning </w:t>
      </w:r>
      <w:r w:rsidR="007C005F" w:rsidRPr="00D42007">
        <w:rPr>
          <w:rFonts w:ascii="Arial" w:hAnsi="Arial" w:cs="Arial"/>
          <w:szCs w:val="24"/>
          <w:lang w:val="en-US" w:eastAsia="ar-SA"/>
        </w:rPr>
        <w:t>consultation</w:t>
      </w:r>
      <w:r w:rsidR="00335A54" w:rsidRPr="00D42007">
        <w:rPr>
          <w:rFonts w:ascii="Arial" w:hAnsi="Arial" w:cs="Arial"/>
          <w:szCs w:val="24"/>
          <w:lang w:val="en-US" w:eastAsia="ar-SA"/>
        </w:rPr>
        <w:t xml:space="preserve"> </w:t>
      </w:r>
      <w:r w:rsidRPr="00D42007">
        <w:rPr>
          <w:rFonts w:ascii="Arial" w:hAnsi="Arial" w:cs="Arial"/>
          <w:szCs w:val="24"/>
          <w:lang w:val="en-US" w:eastAsia="ar-SA"/>
        </w:rPr>
        <w:t xml:space="preserve">role shall be able to liaise coordinate and communicate regarding that role in accordance with </w:t>
      </w:r>
      <w:r w:rsidR="005736FA" w:rsidRPr="00D42007">
        <w:rPr>
          <w:rFonts w:ascii="Arial" w:hAnsi="Arial" w:cs="Arial"/>
          <w:szCs w:val="24"/>
          <w:lang w:val="en-US" w:eastAsia="ar-SA"/>
        </w:rPr>
        <w:t>4</w:t>
      </w:r>
      <w:r w:rsidRPr="00D42007">
        <w:rPr>
          <w:rFonts w:ascii="Arial" w:hAnsi="Arial" w:cs="Arial"/>
          <w:szCs w:val="24"/>
          <w:lang w:val="en-US" w:eastAsia="ar-SA"/>
        </w:rPr>
        <w:t>(</w:t>
      </w:r>
      <w:r w:rsidR="00525B19">
        <w:rPr>
          <w:rFonts w:ascii="Arial" w:hAnsi="Arial" w:cs="Arial"/>
          <w:color w:val="FF0000"/>
          <w:szCs w:val="24"/>
          <w:lang w:val="en-US" w:eastAsia="ar-SA"/>
        </w:rPr>
        <w:t>E</w:t>
      </w:r>
      <w:r w:rsidRPr="00D42007">
        <w:rPr>
          <w:rFonts w:ascii="Arial" w:hAnsi="Arial" w:cs="Arial"/>
          <w:szCs w:val="24"/>
          <w:lang w:val="en-US" w:eastAsia="ar-SA"/>
        </w:rPr>
        <w:t>) above, and</w:t>
      </w:r>
    </w:p>
    <w:p w14:paraId="145F7733" w14:textId="77777777" w:rsidR="00642042" w:rsidRPr="002E7A81" w:rsidRDefault="00642042" w:rsidP="00642042">
      <w:pPr>
        <w:pStyle w:val="ListParagraph"/>
        <w:numPr>
          <w:ilvl w:val="0"/>
          <w:numId w:val="24"/>
        </w:numPr>
        <w:spacing w:before="120"/>
        <w:ind w:left="567" w:right="45" w:hanging="567"/>
        <w:jc w:val="both"/>
        <w:rPr>
          <w:rFonts w:ascii="Arial" w:hAnsi="Arial" w:cs="Arial"/>
          <w:szCs w:val="24"/>
          <w:lang w:val="en-US" w:eastAsia="ar-SA"/>
        </w:rPr>
      </w:pPr>
      <w:r w:rsidRPr="002E7A81">
        <w:rPr>
          <w:rFonts w:ascii="Arial" w:hAnsi="Arial" w:cs="Arial"/>
          <w:szCs w:val="24"/>
          <w:lang w:val="en-US" w:eastAsia="ar-SA"/>
        </w:rPr>
        <w:t xml:space="preserve">shall be able to communicate </w:t>
      </w:r>
      <w:r w:rsidR="00B30FF9">
        <w:rPr>
          <w:rFonts w:ascii="Arial" w:hAnsi="Arial" w:cs="Arial"/>
          <w:szCs w:val="24"/>
          <w:lang w:val="en-US" w:eastAsia="ar-SA"/>
        </w:rPr>
        <w:t>the Council’s decision made at a Parish Council Meeting</w:t>
      </w:r>
      <w:r w:rsidR="00AF7331">
        <w:rPr>
          <w:rFonts w:ascii="Arial" w:hAnsi="Arial" w:cs="Arial"/>
          <w:szCs w:val="24"/>
          <w:lang w:val="en-US" w:eastAsia="ar-SA"/>
        </w:rPr>
        <w:t xml:space="preserve"> </w:t>
      </w:r>
      <w:r w:rsidRPr="002E7A81">
        <w:rPr>
          <w:rFonts w:ascii="Arial" w:hAnsi="Arial" w:cs="Arial"/>
          <w:szCs w:val="24"/>
          <w:lang w:val="en-US" w:eastAsia="ar-SA"/>
        </w:rPr>
        <w:t xml:space="preserve">to </w:t>
      </w:r>
      <w:r w:rsidR="00B55D4A" w:rsidRPr="002E7A81">
        <w:rPr>
          <w:rFonts w:ascii="Arial" w:hAnsi="Arial" w:cs="Arial"/>
          <w:szCs w:val="24"/>
          <w:lang w:val="en-US" w:eastAsia="ar-SA"/>
        </w:rPr>
        <w:t xml:space="preserve">the FoDDC, </w:t>
      </w:r>
      <w:r w:rsidRPr="002E7A81">
        <w:rPr>
          <w:rFonts w:ascii="Arial" w:hAnsi="Arial" w:cs="Arial"/>
          <w:szCs w:val="24"/>
          <w:lang w:val="en-US" w:eastAsia="ar-SA"/>
        </w:rPr>
        <w:t xml:space="preserve">the community and third parties </w:t>
      </w:r>
    </w:p>
    <w:p w14:paraId="2D6C8BE3" w14:textId="77777777" w:rsidR="00642042" w:rsidRPr="002E7A81" w:rsidRDefault="00642042" w:rsidP="00642042">
      <w:pPr>
        <w:spacing w:before="120"/>
        <w:ind w:right="45"/>
        <w:jc w:val="both"/>
        <w:rPr>
          <w:rFonts w:ascii="Arial" w:hAnsi="Arial" w:cs="Arial"/>
          <w:szCs w:val="24"/>
          <w:lang w:val="en-US" w:eastAsia="ar-SA"/>
        </w:rPr>
      </w:pPr>
      <w:r w:rsidRPr="002E7A81">
        <w:rPr>
          <w:rFonts w:ascii="Arial" w:hAnsi="Arial" w:cs="Arial"/>
          <w:szCs w:val="24"/>
          <w:lang w:val="en-US" w:eastAsia="ar-SA"/>
        </w:rPr>
        <w:t>without further authority from the Council but only in accordance with this Policy.</w:t>
      </w:r>
    </w:p>
    <w:p w14:paraId="383F4B52" w14:textId="77777777" w:rsidR="00E4365C" w:rsidRPr="002E7A81" w:rsidRDefault="00E4365C" w:rsidP="00642042">
      <w:pPr>
        <w:spacing w:before="120"/>
        <w:rPr>
          <w:rFonts w:ascii="Arial" w:hAnsi="Arial" w:cs="Arial"/>
          <w:szCs w:val="24"/>
          <w:lang w:val="en-US" w:eastAsia="ar-SA"/>
        </w:rPr>
      </w:pPr>
    </w:p>
    <w:p w14:paraId="6F396A0B" w14:textId="77777777" w:rsidR="00642042" w:rsidRPr="002E7A81" w:rsidRDefault="00642042" w:rsidP="00DA1639">
      <w:pPr>
        <w:spacing w:before="120"/>
        <w:rPr>
          <w:rFonts w:ascii="Arial" w:hAnsi="Arial" w:cs="Arial"/>
          <w:szCs w:val="24"/>
          <w:lang w:val="en-US" w:eastAsia="ar-SA"/>
        </w:rPr>
      </w:pPr>
      <w:r w:rsidRPr="002E7A81">
        <w:rPr>
          <w:rFonts w:ascii="Arial" w:hAnsi="Arial" w:cs="Arial"/>
          <w:szCs w:val="24"/>
          <w:lang w:val="en-US" w:eastAsia="ar-SA"/>
        </w:rPr>
        <w:br w:type="page"/>
      </w:r>
    </w:p>
    <w:p w14:paraId="08A61F5C" w14:textId="77777777" w:rsidR="00FF1706" w:rsidRPr="002E7A81" w:rsidRDefault="00DA1639" w:rsidP="00BE3A69">
      <w:pPr>
        <w:spacing w:before="120"/>
        <w:jc w:val="both"/>
        <w:rPr>
          <w:rFonts w:ascii="Arial" w:hAnsi="Arial" w:cs="Arial"/>
          <w:b/>
          <w:szCs w:val="24"/>
          <w:lang w:val="en-US" w:eastAsia="ar-SA"/>
        </w:rPr>
      </w:pPr>
      <w:r w:rsidRPr="002E7A81">
        <w:rPr>
          <w:rFonts w:ascii="Arial" w:hAnsi="Arial" w:cs="Arial"/>
          <w:b/>
          <w:szCs w:val="24"/>
          <w:lang w:val="en-US" w:eastAsia="ar-SA"/>
        </w:rPr>
        <w:t>APPENDIX 1</w:t>
      </w:r>
    </w:p>
    <w:p w14:paraId="680DCD88" w14:textId="77777777" w:rsidR="00FF1706" w:rsidRPr="002E7A81" w:rsidRDefault="00ED2625" w:rsidP="00DA1639">
      <w:pPr>
        <w:pStyle w:val="ListParagraph"/>
        <w:spacing w:before="240" w:after="120"/>
        <w:ind w:left="0"/>
        <w:jc w:val="both"/>
        <w:rPr>
          <w:rFonts w:ascii="Arial" w:hAnsi="Arial" w:cs="Arial"/>
          <w:b/>
          <w:szCs w:val="24"/>
          <w:lang w:val="en-US" w:eastAsia="ar-SA"/>
        </w:rPr>
      </w:pPr>
      <w:r w:rsidRPr="002E7A81">
        <w:rPr>
          <w:rFonts w:ascii="Arial" w:hAnsi="Arial" w:cs="Arial"/>
          <w:b/>
          <w:szCs w:val="24"/>
          <w:lang w:val="en-US" w:eastAsia="ar-SA"/>
        </w:rPr>
        <w:t>Draft Letter of R</w:t>
      </w:r>
      <w:r w:rsidR="00FF1706" w:rsidRPr="002E7A81">
        <w:rPr>
          <w:rFonts w:ascii="Arial" w:hAnsi="Arial" w:cs="Arial"/>
          <w:b/>
          <w:szCs w:val="24"/>
          <w:lang w:val="en-US" w:eastAsia="ar-SA"/>
        </w:rPr>
        <w:t>esponse</w:t>
      </w:r>
    </w:p>
    <w:p w14:paraId="7492D4B0" w14:textId="77777777" w:rsidR="00ED2625" w:rsidRPr="002E7A81" w:rsidRDefault="00ED2625" w:rsidP="005668DF">
      <w:pPr>
        <w:spacing w:before="120"/>
        <w:jc w:val="both"/>
        <w:rPr>
          <w:rFonts w:ascii="Arial" w:hAnsi="Arial" w:cs="Arial"/>
          <w:szCs w:val="24"/>
          <w:lang w:val="en-US" w:eastAsia="ar-SA"/>
        </w:rPr>
      </w:pPr>
      <w:r w:rsidRPr="002E7A81">
        <w:rPr>
          <w:rFonts w:ascii="Arial" w:hAnsi="Arial" w:cs="Arial"/>
          <w:szCs w:val="24"/>
          <w:lang w:val="en-US" w:eastAsia="ar-SA"/>
        </w:rPr>
        <w:t xml:space="preserve">The Council </w:t>
      </w:r>
      <w:r w:rsidR="00FF0FE8" w:rsidRPr="002E7A81">
        <w:rPr>
          <w:rFonts w:ascii="Arial" w:hAnsi="Arial" w:cs="Arial"/>
          <w:szCs w:val="24"/>
          <w:lang w:val="en-US" w:eastAsia="ar-SA"/>
        </w:rPr>
        <w:t xml:space="preserve">has </w:t>
      </w:r>
      <w:r w:rsidR="00AA6E6F" w:rsidRPr="002E7A81">
        <w:rPr>
          <w:rFonts w:ascii="Arial" w:hAnsi="Arial" w:cs="Arial"/>
          <w:szCs w:val="24"/>
          <w:lang w:val="en-US" w:eastAsia="ar-SA"/>
        </w:rPr>
        <w:t>authoris</w:t>
      </w:r>
      <w:r w:rsidR="00FF0FE8" w:rsidRPr="002E7A81">
        <w:rPr>
          <w:rFonts w:ascii="Arial" w:hAnsi="Arial" w:cs="Arial"/>
          <w:szCs w:val="24"/>
          <w:lang w:val="en-US" w:eastAsia="ar-SA"/>
        </w:rPr>
        <w:t>ed the</w:t>
      </w:r>
      <w:r w:rsidRPr="002E7A81">
        <w:rPr>
          <w:rFonts w:ascii="Arial" w:hAnsi="Arial" w:cs="Arial"/>
          <w:szCs w:val="24"/>
          <w:lang w:val="en-US" w:eastAsia="ar-SA"/>
        </w:rPr>
        <w:t xml:space="preserve"> use a standard for</w:t>
      </w:r>
      <w:r w:rsidR="005668DF" w:rsidRPr="002E7A81">
        <w:rPr>
          <w:rFonts w:ascii="Arial" w:hAnsi="Arial" w:cs="Arial"/>
          <w:szCs w:val="24"/>
          <w:lang w:val="en-US" w:eastAsia="ar-SA"/>
        </w:rPr>
        <w:t>m</w:t>
      </w:r>
      <w:r w:rsidRPr="002E7A81">
        <w:rPr>
          <w:rFonts w:ascii="Arial" w:hAnsi="Arial" w:cs="Arial"/>
          <w:szCs w:val="24"/>
          <w:lang w:val="en-US" w:eastAsia="ar-SA"/>
        </w:rPr>
        <w:t xml:space="preserve"> of response </w:t>
      </w:r>
      <w:r w:rsidR="009C1B01" w:rsidRPr="002E7A81">
        <w:rPr>
          <w:rFonts w:ascii="Arial" w:hAnsi="Arial" w:cs="Arial"/>
          <w:szCs w:val="24"/>
          <w:lang w:val="en-US" w:eastAsia="ar-SA"/>
        </w:rPr>
        <w:t>to a P</w:t>
      </w:r>
      <w:r w:rsidR="0053256F" w:rsidRPr="002E7A81">
        <w:rPr>
          <w:rFonts w:ascii="Arial" w:hAnsi="Arial" w:cs="Arial"/>
          <w:szCs w:val="24"/>
          <w:lang w:val="en-US" w:eastAsia="ar-SA"/>
        </w:rPr>
        <w:t xml:space="preserve">lanning </w:t>
      </w:r>
      <w:r w:rsidR="009C1B01" w:rsidRPr="002E7A81">
        <w:rPr>
          <w:rFonts w:ascii="Arial" w:hAnsi="Arial" w:cs="Arial"/>
          <w:szCs w:val="24"/>
          <w:lang w:val="en-US" w:eastAsia="ar-SA"/>
        </w:rPr>
        <w:t>A</w:t>
      </w:r>
      <w:r w:rsidR="00A237BD" w:rsidRPr="002E7A81">
        <w:rPr>
          <w:rFonts w:ascii="Arial" w:hAnsi="Arial" w:cs="Arial"/>
          <w:szCs w:val="24"/>
          <w:lang w:val="en-US" w:eastAsia="ar-SA"/>
        </w:rPr>
        <w:t>pplication (</w:t>
      </w:r>
      <w:r w:rsidR="0053256F" w:rsidRPr="002E7A81">
        <w:rPr>
          <w:rFonts w:ascii="Arial" w:hAnsi="Arial" w:cs="Arial"/>
          <w:szCs w:val="24"/>
          <w:lang w:val="en-US" w:eastAsia="ar-SA"/>
        </w:rPr>
        <w:t xml:space="preserve">or </w:t>
      </w:r>
      <w:r w:rsidR="009C1B01" w:rsidRPr="002E7A81">
        <w:rPr>
          <w:rFonts w:ascii="Arial" w:hAnsi="Arial" w:cs="Arial"/>
          <w:szCs w:val="24"/>
          <w:lang w:val="en-US" w:eastAsia="ar-SA"/>
        </w:rPr>
        <w:t>P</w:t>
      </w:r>
      <w:r w:rsidR="0053256F" w:rsidRPr="002E7A81">
        <w:rPr>
          <w:rFonts w:ascii="Arial" w:hAnsi="Arial" w:cs="Arial"/>
          <w:szCs w:val="24"/>
          <w:lang w:val="en-US" w:eastAsia="ar-SA"/>
        </w:rPr>
        <w:t xml:space="preserve">lanning </w:t>
      </w:r>
      <w:r w:rsidR="009C1B01" w:rsidRPr="002E7A81">
        <w:rPr>
          <w:rFonts w:ascii="Arial" w:hAnsi="Arial" w:cs="Arial"/>
          <w:szCs w:val="24"/>
          <w:lang w:val="en-US" w:eastAsia="ar-SA"/>
        </w:rPr>
        <w:t>A</w:t>
      </w:r>
      <w:r w:rsidR="0053256F" w:rsidRPr="002E7A81">
        <w:rPr>
          <w:rFonts w:ascii="Arial" w:hAnsi="Arial" w:cs="Arial"/>
          <w:szCs w:val="24"/>
          <w:lang w:val="en-US" w:eastAsia="ar-SA"/>
        </w:rPr>
        <w:t>ppeal)</w:t>
      </w:r>
      <w:r w:rsidR="00AA6E6F" w:rsidRPr="002E7A81">
        <w:rPr>
          <w:rFonts w:ascii="Arial" w:hAnsi="Arial" w:cs="Arial"/>
          <w:szCs w:val="24"/>
          <w:lang w:val="en-US" w:eastAsia="ar-SA"/>
        </w:rPr>
        <w:t>: it</w:t>
      </w:r>
      <w:r w:rsidRPr="002E7A81">
        <w:rPr>
          <w:rFonts w:ascii="Arial" w:hAnsi="Arial" w:cs="Arial"/>
          <w:szCs w:val="24"/>
          <w:lang w:val="en-US" w:eastAsia="ar-SA"/>
        </w:rPr>
        <w:t xml:space="preserve"> will normally include</w:t>
      </w:r>
      <w:r w:rsidR="0029760E" w:rsidRPr="002E7A81">
        <w:rPr>
          <w:rFonts w:ascii="Arial" w:hAnsi="Arial" w:cs="Arial"/>
          <w:szCs w:val="24"/>
          <w:lang w:val="en-US" w:eastAsia="ar-SA"/>
        </w:rPr>
        <w:t xml:space="preserve"> relevant part</w:t>
      </w:r>
      <w:r w:rsidR="00A237BD" w:rsidRPr="002E7A81">
        <w:rPr>
          <w:rFonts w:ascii="Arial" w:hAnsi="Arial" w:cs="Arial"/>
          <w:szCs w:val="24"/>
          <w:lang w:val="en-US" w:eastAsia="ar-SA"/>
        </w:rPr>
        <w:t>s</w:t>
      </w:r>
      <w:r w:rsidR="0029760E" w:rsidRPr="002E7A81">
        <w:rPr>
          <w:rFonts w:ascii="Arial" w:hAnsi="Arial" w:cs="Arial"/>
          <w:szCs w:val="24"/>
          <w:lang w:val="en-US" w:eastAsia="ar-SA"/>
        </w:rPr>
        <w:t xml:space="preserve"> of the following text</w:t>
      </w:r>
      <w:r w:rsidRPr="002E7A81">
        <w:rPr>
          <w:rFonts w:ascii="Arial" w:hAnsi="Arial" w:cs="Arial"/>
          <w:szCs w:val="24"/>
          <w:lang w:val="en-US" w:eastAsia="ar-SA"/>
        </w:rPr>
        <w:t>:</w:t>
      </w:r>
    </w:p>
    <w:p w14:paraId="3FF64E90" w14:textId="77777777" w:rsidR="009C1B01" w:rsidRPr="002E7A81" w:rsidRDefault="009C1B01" w:rsidP="005668DF">
      <w:pPr>
        <w:spacing w:before="120"/>
        <w:jc w:val="both"/>
        <w:rPr>
          <w:rFonts w:ascii="Arial" w:hAnsi="Arial" w:cs="Arial"/>
          <w:szCs w:val="24"/>
          <w:lang w:val="en-US" w:eastAsia="ar-SA"/>
        </w:rPr>
      </w:pPr>
    </w:p>
    <w:p w14:paraId="6730B012" w14:textId="77777777" w:rsidR="004F5C00" w:rsidRPr="002E7A81" w:rsidRDefault="004F5C00" w:rsidP="009C1B01">
      <w:pPr>
        <w:spacing w:before="120"/>
        <w:jc w:val="both"/>
        <w:rPr>
          <w:rFonts w:ascii="Arial" w:hAnsi="Arial" w:cs="Arial"/>
          <w:i/>
          <w:szCs w:val="24"/>
          <w:lang w:val="en-US" w:eastAsia="ar-SA"/>
        </w:rPr>
      </w:pPr>
      <w:r w:rsidRPr="002E7A81">
        <w:rPr>
          <w:rFonts w:ascii="Arial" w:hAnsi="Arial" w:cs="Arial"/>
          <w:i/>
          <w:szCs w:val="24"/>
          <w:lang w:val="en-US" w:eastAsia="ar-SA"/>
        </w:rPr>
        <w:t>Dear Sirs</w:t>
      </w:r>
    </w:p>
    <w:p w14:paraId="51DF8080" w14:textId="77777777" w:rsidR="00ED2625" w:rsidRPr="002E7A81" w:rsidRDefault="00ED2625"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Kempley Parish Council (the Council) thanks you for the opportunity to comment on the Planning Application </w:t>
      </w:r>
      <w:r w:rsidR="005668DF" w:rsidRPr="002E7A81">
        <w:rPr>
          <w:rFonts w:ascii="Arial" w:hAnsi="Arial" w:cs="Arial"/>
          <w:i/>
          <w:szCs w:val="24"/>
          <w:lang w:val="en-US" w:eastAsia="ar-SA"/>
        </w:rPr>
        <w:t xml:space="preserve">(Appeal) </w:t>
      </w:r>
      <w:r w:rsidRPr="002E7A81">
        <w:rPr>
          <w:rFonts w:ascii="Arial" w:hAnsi="Arial" w:cs="Arial"/>
          <w:i/>
          <w:szCs w:val="24"/>
          <w:lang w:val="en-US" w:eastAsia="ar-SA"/>
        </w:rPr>
        <w:t>referenced above.</w:t>
      </w:r>
    </w:p>
    <w:p w14:paraId="06517FCD" w14:textId="77777777" w:rsidR="00ED2625" w:rsidRPr="002E7A81" w:rsidRDefault="00ED2625"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The Council welcomes / supports / does not support / is strongly against the proposal </w:t>
      </w:r>
      <w:r w:rsidR="005668DF" w:rsidRPr="002E7A81">
        <w:rPr>
          <w:rFonts w:ascii="Arial" w:hAnsi="Arial" w:cs="Arial"/>
          <w:i/>
          <w:szCs w:val="24"/>
          <w:lang w:val="en-US" w:eastAsia="ar-SA"/>
        </w:rPr>
        <w:t xml:space="preserve">by a majority of (x) in favour and (x) against </w:t>
      </w:r>
      <w:r w:rsidRPr="002E7A81">
        <w:rPr>
          <w:rFonts w:ascii="Arial" w:hAnsi="Arial" w:cs="Arial"/>
          <w:i/>
          <w:szCs w:val="24"/>
          <w:lang w:val="en-US" w:eastAsia="ar-SA"/>
        </w:rPr>
        <w:t>for the following reasons:</w:t>
      </w:r>
    </w:p>
    <w:p w14:paraId="7FA09204" w14:textId="77777777" w:rsidR="00ED2625" w:rsidRPr="002E7A81" w:rsidRDefault="00ED2625" w:rsidP="002225C8">
      <w:pPr>
        <w:pStyle w:val="ListParagraph"/>
        <w:numPr>
          <w:ilvl w:val="1"/>
          <w:numId w:val="21"/>
        </w:numPr>
        <w:spacing w:before="120"/>
        <w:jc w:val="both"/>
        <w:rPr>
          <w:rFonts w:ascii="Arial" w:hAnsi="Arial" w:cs="Arial"/>
          <w:i/>
          <w:szCs w:val="24"/>
          <w:lang w:val="en-US" w:eastAsia="ar-SA"/>
        </w:rPr>
      </w:pPr>
      <w:r w:rsidRPr="002E7A81">
        <w:rPr>
          <w:rFonts w:ascii="Arial" w:hAnsi="Arial" w:cs="Arial"/>
          <w:i/>
          <w:szCs w:val="24"/>
          <w:lang w:val="en-US" w:eastAsia="ar-SA"/>
        </w:rPr>
        <w:t>(List)</w:t>
      </w:r>
    </w:p>
    <w:p w14:paraId="4E0EACA5" w14:textId="77777777" w:rsidR="004B7502" w:rsidRPr="002E7A81" w:rsidRDefault="004B7502" w:rsidP="004B7502">
      <w:pPr>
        <w:pStyle w:val="ListParagraph"/>
        <w:numPr>
          <w:ilvl w:val="1"/>
          <w:numId w:val="21"/>
        </w:numPr>
        <w:spacing w:before="120"/>
        <w:jc w:val="both"/>
        <w:rPr>
          <w:rFonts w:ascii="Arial" w:hAnsi="Arial" w:cs="Arial"/>
          <w:i/>
          <w:szCs w:val="24"/>
          <w:lang w:val="en-US" w:eastAsia="ar-SA"/>
        </w:rPr>
      </w:pPr>
      <w:r w:rsidRPr="002E7A81">
        <w:rPr>
          <w:rFonts w:ascii="Arial" w:hAnsi="Arial" w:cs="Arial"/>
          <w:i/>
          <w:szCs w:val="24"/>
          <w:lang w:val="en-US" w:eastAsia="ar-SA"/>
        </w:rPr>
        <w:t xml:space="preserve">A(n extraordinary) meeting of the Council considered </w:t>
      </w:r>
      <w:r w:rsidR="003762FA" w:rsidRPr="002E7A81">
        <w:rPr>
          <w:rFonts w:ascii="Arial" w:hAnsi="Arial" w:cs="Arial"/>
          <w:i/>
          <w:szCs w:val="24"/>
          <w:lang w:val="en-US" w:eastAsia="ar-SA"/>
        </w:rPr>
        <w:t xml:space="preserve">the application carefully and concluded </w:t>
      </w:r>
      <w:r w:rsidRPr="002E7A81">
        <w:rPr>
          <w:rFonts w:ascii="Arial" w:hAnsi="Arial" w:cs="Arial"/>
          <w:i/>
          <w:szCs w:val="24"/>
          <w:lang w:val="en-US" w:eastAsia="ar-SA"/>
        </w:rPr>
        <w:t>that (List)</w:t>
      </w:r>
      <w:r w:rsidR="003762FA" w:rsidRPr="002E7A81">
        <w:rPr>
          <w:rFonts w:ascii="Arial" w:hAnsi="Arial" w:cs="Arial"/>
          <w:i/>
          <w:szCs w:val="24"/>
          <w:lang w:val="en-US" w:eastAsia="ar-SA"/>
        </w:rPr>
        <w:t xml:space="preserve">.  Public opinion at the meeting </w:t>
      </w:r>
      <w:r w:rsidR="00776F54" w:rsidRPr="002E7A81">
        <w:rPr>
          <w:rFonts w:ascii="Arial" w:hAnsi="Arial" w:cs="Arial"/>
          <w:i/>
          <w:szCs w:val="24"/>
          <w:lang w:val="en-US" w:eastAsia="ar-SA"/>
        </w:rPr>
        <w:t>was (x)</w:t>
      </w:r>
      <w:r w:rsidR="003762FA" w:rsidRPr="002E7A81">
        <w:rPr>
          <w:rFonts w:ascii="Arial" w:hAnsi="Arial" w:cs="Arial"/>
          <w:i/>
          <w:szCs w:val="24"/>
          <w:lang w:val="en-US" w:eastAsia="ar-SA"/>
        </w:rPr>
        <w:t>.</w:t>
      </w:r>
    </w:p>
    <w:p w14:paraId="24022643" w14:textId="77777777" w:rsidR="002225C8" w:rsidRPr="002E7A81" w:rsidRDefault="002225C8"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For your information </w:t>
      </w:r>
      <w:r w:rsidR="00776F54" w:rsidRPr="002E7A81">
        <w:rPr>
          <w:rFonts w:ascii="Arial" w:hAnsi="Arial" w:cs="Arial"/>
          <w:i/>
          <w:szCs w:val="24"/>
          <w:lang w:val="en-US" w:eastAsia="ar-SA"/>
        </w:rPr>
        <w:t xml:space="preserve">in 2016 and 2017 </w:t>
      </w:r>
      <w:r w:rsidRPr="002E7A81">
        <w:rPr>
          <w:rFonts w:ascii="Arial" w:hAnsi="Arial" w:cs="Arial"/>
          <w:i/>
          <w:szCs w:val="24"/>
          <w:lang w:val="en-US" w:eastAsia="ar-SA"/>
        </w:rPr>
        <w:t>the Council carried out a wide-ranging consultation to canvas views of the community</w:t>
      </w:r>
      <w:r w:rsidR="00A52E2B" w:rsidRPr="002E7A81">
        <w:rPr>
          <w:rFonts w:ascii="Arial" w:hAnsi="Arial" w:cs="Arial"/>
          <w:i/>
          <w:szCs w:val="24"/>
          <w:lang w:val="en-US" w:eastAsia="ar-SA"/>
        </w:rPr>
        <w:t xml:space="preserve"> on various matters. </w:t>
      </w:r>
      <w:r w:rsidRPr="002E7A81">
        <w:rPr>
          <w:rFonts w:ascii="Arial" w:hAnsi="Arial" w:cs="Arial"/>
          <w:i/>
          <w:szCs w:val="24"/>
          <w:lang w:val="en-US" w:eastAsia="ar-SA"/>
        </w:rPr>
        <w:t xml:space="preserve">The </w:t>
      </w:r>
      <w:r w:rsidR="007C005F" w:rsidRPr="002E7A81">
        <w:rPr>
          <w:rFonts w:ascii="Arial" w:hAnsi="Arial" w:cs="Arial"/>
          <w:i/>
          <w:szCs w:val="24"/>
          <w:lang w:val="en-US" w:eastAsia="ar-SA"/>
        </w:rPr>
        <w:t>consultation</w:t>
      </w:r>
      <w:r w:rsidRPr="002E7A81">
        <w:rPr>
          <w:rFonts w:ascii="Arial" w:hAnsi="Arial" w:cs="Arial"/>
          <w:i/>
          <w:szCs w:val="24"/>
          <w:lang w:val="en-US" w:eastAsia="ar-SA"/>
        </w:rPr>
        <w:t xml:space="preserve"> involved village meetings and a questionnaire circulated to all the community with responses forming the basis of</w:t>
      </w:r>
      <w:r w:rsidRPr="002E7A81">
        <w:rPr>
          <w:rFonts w:ascii="Arial" w:hAnsi="Arial" w:cs="Arial"/>
          <w:i/>
        </w:rPr>
        <w:t xml:space="preserve"> “</w:t>
      </w:r>
      <w:r w:rsidRPr="002E7A81">
        <w:rPr>
          <w:rFonts w:ascii="Arial" w:hAnsi="Arial" w:cs="Arial"/>
          <w:i/>
          <w:iCs/>
          <w:szCs w:val="24"/>
          <w:lang w:val="en-US" w:eastAsia="ar-SA"/>
        </w:rPr>
        <w:t>Our Kempley Community-led Plan”</w:t>
      </w:r>
      <w:r w:rsidRPr="002E7A81">
        <w:rPr>
          <w:rFonts w:ascii="Arial" w:hAnsi="Arial" w:cs="Arial"/>
          <w:i/>
          <w:szCs w:val="24"/>
          <w:lang w:val="en-US" w:eastAsia="ar-SA"/>
        </w:rPr>
        <w:t>, September 2017</w:t>
      </w:r>
      <w:r w:rsidR="003762FA" w:rsidRPr="002E7A81">
        <w:rPr>
          <w:rFonts w:ascii="Arial" w:hAnsi="Arial" w:cs="Arial"/>
          <w:i/>
          <w:szCs w:val="24"/>
          <w:lang w:val="en-US" w:eastAsia="ar-SA"/>
        </w:rPr>
        <w:t xml:space="preserve"> (the CLP).  </w:t>
      </w:r>
      <w:r w:rsidR="00A52E2B" w:rsidRPr="002E7A81">
        <w:rPr>
          <w:rFonts w:ascii="Arial" w:hAnsi="Arial" w:cs="Arial"/>
          <w:i/>
          <w:szCs w:val="24"/>
          <w:lang w:val="en-US" w:eastAsia="ar-SA"/>
        </w:rPr>
        <w:t>The responses showed that concerns re</w:t>
      </w:r>
      <w:r w:rsidR="00A03238" w:rsidRPr="002E7A81">
        <w:rPr>
          <w:rFonts w:ascii="Arial" w:hAnsi="Arial" w:cs="Arial"/>
          <w:i/>
          <w:szCs w:val="24"/>
          <w:lang w:val="en-US" w:eastAsia="ar-SA"/>
        </w:rPr>
        <w:t>gard</w:t>
      </w:r>
      <w:r w:rsidR="007C005F" w:rsidRPr="002E7A81">
        <w:rPr>
          <w:rFonts w:ascii="Arial" w:hAnsi="Arial" w:cs="Arial"/>
          <w:i/>
          <w:szCs w:val="24"/>
          <w:lang w:val="en-US" w:eastAsia="ar-SA"/>
        </w:rPr>
        <w:t>ing future development in Kemple</w:t>
      </w:r>
      <w:r w:rsidR="00A03238" w:rsidRPr="002E7A81">
        <w:rPr>
          <w:rFonts w:ascii="Arial" w:hAnsi="Arial" w:cs="Arial"/>
          <w:i/>
          <w:szCs w:val="24"/>
          <w:lang w:val="en-US" w:eastAsia="ar-SA"/>
        </w:rPr>
        <w:t xml:space="preserve">y </w:t>
      </w:r>
      <w:r w:rsidR="00A52E2B" w:rsidRPr="002E7A81">
        <w:rPr>
          <w:rFonts w:ascii="Arial" w:hAnsi="Arial" w:cs="Arial"/>
          <w:i/>
          <w:szCs w:val="24"/>
          <w:lang w:val="en-US" w:eastAsia="ar-SA"/>
        </w:rPr>
        <w:t>featured strongly.</w:t>
      </w:r>
    </w:p>
    <w:p w14:paraId="01829689" w14:textId="77777777" w:rsidR="001572B7" w:rsidRPr="002E7A81" w:rsidRDefault="001572B7"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In the </w:t>
      </w:r>
      <w:r w:rsidR="00006980" w:rsidRPr="002E7A81">
        <w:rPr>
          <w:rFonts w:ascii="Arial" w:hAnsi="Arial" w:cs="Arial"/>
          <w:i/>
          <w:szCs w:val="24"/>
          <w:lang w:val="en-US" w:eastAsia="ar-SA"/>
        </w:rPr>
        <w:t xml:space="preserve">resulting </w:t>
      </w:r>
      <w:r w:rsidRPr="002E7A81">
        <w:rPr>
          <w:rFonts w:ascii="Arial" w:hAnsi="Arial" w:cs="Arial"/>
          <w:i/>
          <w:szCs w:val="24"/>
          <w:lang w:val="en-US" w:eastAsia="ar-SA"/>
        </w:rPr>
        <w:t>CLP</w:t>
      </w:r>
      <w:r w:rsidR="00006980" w:rsidRPr="002E7A81">
        <w:rPr>
          <w:rFonts w:ascii="Arial" w:hAnsi="Arial" w:cs="Arial"/>
          <w:i/>
          <w:szCs w:val="24"/>
          <w:lang w:val="en-US" w:eastAsia="ar-SA"/>
        </w:rPr>
        <w:t xml:space="preserve">, which is available on the Parish Council website </w:t>
      </w:r>
      <w:hyperlink r:id="rId13" w:history="1">
        <w:r w:rsidR="002B3F41" w:rsidRPr="002E7A81">
          <w:rPr>
            <w:rStyle w:val="Hyperlink"/>
            <w:rFonts w:ascii="Arial" w:hAnsi="Arial" w:cs="Arial"/>
            <w:i/>
            <w:color w:val="auto"/>
            <w:szCs w:val="24"/>
            <w:lang w:val="en-US" w:eastAsia="ar-SA"/>
          </w:rPr>
          <w:t>www.kempleyparishcouncil.org/community-info/</w:t>
        </w:r>
      </w:hyperlink>
      <w:r w:rsidR="0029760E" w:rsidRPr="002E7A81">
        <w:rPr>
          <w:rFonts w:ascii="Arial" w:hAnsi="Arial" w:cs="Arial"/>
          <w:i/>
          <w:szCs w:val="24"/>
          <w:lang w:val="en-US" w:eastAsia="ar-SA"/>
        </w:rPr>
        <w:t>, y</w:t>
      </w:r>
      <w:r w:rsidR="008B0BE3" w:rsidRPr="002E7A81">
        <w:rPr>
          <w:rFonts w:ascii="Arial" w:hAnsi="Arial" w:cs="Arial"/>
          <w:i/>
          <w:szCs w:val="24"/>
          <w:lang w:val="en-US" w:eastAsia="ar-SA"/>
        </w:rPr>
        <w:t xml:space="preserve">our </w:t>
      </w:r>
      <w:r w:rsidRPr="002E7A81">
        <w:rPr>
          <w:rFonts w:ascii="Arial" w:hAnsi="Arial" w:cs="Arial"/>
          <w:i/>
          <w:szCs w:val="24"/>
          <w:lang w:val="en-US" w:eastAsia="ar-SA"/>
        </w:rPr>
        <w:t>attention is drawn to:</w:t>
      </w:r>
    </w:p>
    <w:p w14:paraId="09D5B01C"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The Forest of Dean District Council (FoDDC) Allocations Plan (2015) features Kempley Green as a distinct area of consolidation within the dispersed rural area of Kempley as a whole. FoDDC has defined a Designated Settlement Boundary (DSB) as shown on the map. Kempley Green, as a defined settlement, has a population of approximately 108 in around 40 houses. The village is considered to be almost fully developed within the DSB with only one or two tiny areas still appropriate for infill development. The key issue stated in the Allocations Plan (2015) is to “protect the surrounding countryside from inappropriate development” and it is proposed that “the plan will continue a tight control on further development”.</w:t>
      </w:r>
    </w:p>
    <w:p w14:paraId="65D1C756"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With that background, combined with a number of comments from villagers, it is clear that any development within the DSB and, indeed, outside of this but within the village as a whole will be contentious.</w:t>
      </w:r>
    </w:p>
    <w:p w14:paraId="3BD9172E"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The questionnaire asked whether residents would be in favour of development within the DSB and 50% confirmed that they would albeit with some qualifications on design on a case by case basis. 88% of respondents were in favour of renewal / redevelopment of existing dwellings, again on a case by case basis.</w:t>
      </w:r>
    </w:p>
    <w:p w14:paraId="125B1548"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At the meeting there was hot debate on the potential of development outside of the DSB and comments received then and since typify the fierce sense of protection villagers feel about the locality, and</w:t>
      </w:r>
    </w:p>
    <w:p w14:paraId="4B4C2F44" w14:textId="77777777" w:rsidR="001572B7" w:rsidRPr="002E7A81" w:rsidRDefault="001572B7"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A particular attribute of Kempley Green is the way that the characteristics of a hedged country lane are carried through the Kempley Green settlement with green hedging forming boundaries to village gardens.</w:t>
      </w:r>
    </w:p>
    <w:p w14:paraId="44BE21D0" w14:textId="77777777" w:rsidR="001572B7" w:rsidRPr="002E7A81" w:rsidRDefault="001572B7" w:rsidP="0029760E">
      <w:pPr>
        <w:pStyle w:val="ListParagraph"/>
        <w:autoSpaceDE w:val="0"/>
        <w:autoSpaceDN w:val="0"/>
        <w:adjustRightInd w:val="0"/>
        <w:spacing w:before="120"/>
        <w:ind w:left="567"/>
        <w:jc w:val="both"/>
        <w:rPr>
          <w:rFonts w:ascii="Arial" w:hAnsi="Arial" w:cs="Arial"/>
          <w:szCs w:val="24"/>
          <w:lang w:val="en-US" w:eastAsia="ar-SA"/>
        </w:rPr>
      </w:pPr>
      <w:r w:rsidRPr="002E7A81">
        <w:rPr>
          <w:rFonts w:ascii="Arial" w:hAnsi="Arial" w:cs="Arial"/>
          <w:szCs w:val="24"/>
          <w:lang w:val="en-US" w:eastAsia="ar-SA"/>
        </w:rPr>
        <w:t>The Council therefore con</w:t>
      </w:r>
      <w:r w:rsidR="007F588D" w:rsidRPr="002E7A81">
        <w:rPr>
          <w:rFonts w:ascii="Arial" w:hAnsi="Arial" w:cs="Arial"/>
          <w:szCs w:val="24"/>
          <w:lang w:val="en-US" w:eastAsia="ar-SA"/>
        </w:rPr>
        <w:t>siders a</w:t>
      </w:r>
      <w:r w:rsidRPr="002E7A81">
        <w:rPr>
          <w:rFonts w:ascii="Arial" w:hAnsi="Arial" w:cs="Arial"/>
          <w:szCs w:val="24"/>
          <w:lang w:val="en-US" w:eastAsia="ar-SA"/>
        </w:rPr>
        <w:t xml:space="preserve"> requirement for hedging to boundaries to be an important requirement of a consent</w:t>
      </w:r>
      <w:r w:rsidR="009452F9" w:rsidRPr="002E7A81">
        <w:rPr>
          <w:rFonts w:ascii="Arial" w:hAnsi="Arial" w:cs="Arial"/>
          <w:szCs w:val="24"/>
          <w:lang w:val="en-US" w:eastAsia="ar-SA"/>
        </w:rPr>
        <w:t xml:space="preserve"> for a development / alteration to a means of access</w:t>
      </w:r>
      <w:r w:rsidRPr="002E7A81">
        <w:rPr>
          <w:rFonts w:ascii="Arial" w:hAnsi="Arial" w:cs="Arial"/>
          <w:szCs w:val="24"/>
          <w:lang w:val="en-US" w:eastAsia="ar-SA"/>
        </w:rPr>
        <w:t>, and</w:t>
      </w:r>
    </w:p>
    <w:p w14:paraId="4D2407CC" w14:textId="77777777" w:rsidR="001572B7" w:rsidRPr="002E7A81" w:rsidRDefault="001572B7"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The unlit road is important to people. As one villager mentioned at our annual meeting in 2016 “we love living here and proudly tell other people that there are no street lights and we can see the stars”. This sentiment is supported by 91% of the respondents to the village questionnaire stating that the dark skies were important or very important to them.</w:t>
      </w:r>
    </w:p>
    <w:p w14:paraId="7A4BF1C6" w14:textId="77777777" w:rsidR="001572B7" w:rsidRPr="002E7A81" w:rsidRDefault="007F588D" w:rsidP="0029760E">
      <w:pPr>
        <w:pStyle w:val="ListParagraph"/>
        <w:spacing w:before="120"/>
        <w:ind w:left="567"/>
        <w:jc w:val="both"/>
        <w:rPr>
          <w:rFonts w:ascii="Arial" w:hAnsi="Arial" w:cs="Arial"/>
          <w:szCs w:val="24"/>
          <w:lang w:val="en-US" w:eastAsia="ar-SA"/>
        </w:rPr>
      </w:pPr>
      <w:r w:rsidRPr="002E7A81">
        <w:rPr>
          <w:rFonts w:ascii="Arial" w:hAnsi="Arial" w:cs="Arial"/>
          <w:szCs w:val="24"/>
          <w:lang w:val="en-US" w:eastAsia="ar-SA"/>
        </w:rPr>
        <w:t xml:space="preserve">The Council therefore considers a requirement for the control of </w:t>
      </w:r>
      <w:r w:rsidR="00776F54" w:rsidRPr="002E7A81">
        <w:rPr>
          <w:rFonts w:ascii="Arial" w:hAnsi="Arial" w:cs="Arial"/>
          <w:szCs w:val="24"/>
          <w:lang w:val="en-US" w:eastAsia="ar-SA"/>
        </w:rPr>
        <w:t xml:space="preserve">external </w:t>
      </w:r>
      <w:r w:rsidRPr="002E7A81">
        <w:rPr>
          <w:rFonts w:ascii="Arial" w:hAnsi="Arial" w:cs="Arial"/>
          <w:szCs w:val="24"/>
          <w:lang w:val="en-US" w:eastAsia="ar-SA"/>
        </w:rPr>
        <w:t>lighting to prevent light pollution to also be an important requirement of a consent</w:t>
      </w:r>
      <w:r w:rsidR="00E17E74" w:rsidRPr="002E7A81">
        <w:rPr>
          <w:rFonts w:ascii="Arial" w:hAnsi="Arial" w:cs="Arial"/>
          <w:szCs w:val="24"/>
          <w:lang w:val="en-US" w:eastAsia="ar-SA"/>
        </w:rPr>
        <w:t xml:space="preserve"> for development </w:t>
      </w:r>
      <w:r w:rsidR="009452F9" w:rsidRPr="002E7A81">
        <w:rPr>
          <w:rFonts w:ascii="Arial" w:hAnsi="Arial" w:cs="Arial"/>
          <w:szCs w:val="24"/>
          <w:lang w:val="en-US" w:eastAsia="ar-SA"/>
        </w:rPr>
        <w:t>/</w:t>
      </w:r>
      <w:r w:rsidR="00E17E74" w:rsidRPr="002E7A81">
        <w:rPr>
          <w:rFonts w:ascii="Arial" w:hAnsi="Arial" w:cs="Arial"/>
          <w:szCs w:val="24"/>
          <w:lang w:val="en-US" w:eastAsia="ar-SA"/>
        </w:rPr>
        <w:t xml:space="preserve"> change of use</w:t>
      </w:r>
      <w:r w:rsidR="009452F9" w:rsidRPr="002E7A81">
        <w:rPr>
          <w:rFonts w:ascii="Arial" w:hAnsi="Arial" w:cs="Arial"/>
          <w:szCs w:val="24"/>
          <w:lang w:val="en-US" w:eastAsia="ar-SA"/>
        </w:rPr>
        <w:t xml:space="preserve"> / alteration to a means of access</w:t>
      </w:r>
      <w:r w:rsidRPr="002E7A81">
        <w:rPr>
          <w:rFonts w:ascii="Arial" w:hAnsi="Arial" w:cs="Arial"/>
          <w:szCs w:val="24"/>
          <w:lang w:val="en-US" w:eastAsia="ar-SA"/>
        </w:rPr>
        <w:t>.</w:t>
      </w:r>
    </w:p>
    <w:p w14:paraId="4E8742DF" w14:textId="77777777" w:rsidR="004F5C00" w:rsidRPr="002E7A81" w:rsidRDefault="004F5C00" w:rsidP="004F5C00">
      <w:pPr>
        <w:pStyle w:val="ListParagraph"/>
        <w:spacing w:before="120"/>
        <w:ind w:left="0"/>
        <w:jc w:val="both"/>
        <w:rPr>
          <w:rFonts w:ascii="Arial" w:hAnsi="Arial" w:cs="Arial"/>
          <w:szCs w:val="24"/>
          <w:lang w:val="en-US" w:eastAsia="ar-SA"/>
        </w:rPr>
      </w:pPr>
    </w:p>
    <w:p w14:paraId="361D4E49" w14:textId="77777777" w:rsidR="007C68B7" w:rsidRPr="002E7A81" w:rsidRDefault="007C68B7" w:rsidP="007C68B7">
      <w:pPr>
        <w:jc w:val="both"/>
        <w:rPr>
          <w:rFonts w:ascii="Arial" w:eastAsia="Calibri" w:hAnsi="Arial" w:cs="Arial"/>
          <w:sz w:val="22"/>
          <w:szCs w:val="22"/>
          <w:lang w:eastAsia="en-GB"/>
        </w:rPr>
      </w:pPr>
      <w:r w:rsidRPr="002E7A81">
        <w:rPr>
          <w:rFonts w:ascii="Arial" w:eastAsia="Calibri" w:hAnsi="Arial" w:cs="Arial"/>
          <w:sz w:val="22"/>
          <w:szCs w:val="22"/>
          <w:lang w:eastAsia="en-GB"/>
        </w:rPr>
        <w:t xml:space="preserve">The Council hopes that all the above is clear.  If any reply is made please ensure a copy is sent to the Parish Clerk: </w:t>
      </w:r>
      <w:hyperlink r:id="rId14" w:history="1">
        <w:r w:rsidRPr="002E7A81">
          <w:rPr>
            <w:rFonts w:ascii="Arial" w:eastAsia="Calibri" w:hAnsi="Arial" w:cs="Arial"/>
            <w:sz w:val="22"/>
            <w:szCs w:val="22"/>
            <w:lang w:eastAsia="en-GB"/>
          </w:rPr>
          <w:t>kempleyparishclerk@gmail.com</w:t>
        </w:r>
      </w:hyperlink>
      <w:r w:rsidRPr="002E7A81">
        <w:rPr>
          <w:rFonts w:ascii="Arial" w:eastAsia="Calibri" w:hAnsi="Arial" w:cs="Arial"/>
          <w:sz w:val="22"/>
          <w:szCs w:val="22"/>
          <w:lang w:eastAsia="en-GB"/>
        </w:rPr>
        <w:t>.</w:t>
      </w:r>
    </w:p>
    <w:p w14:paraId="1D51283A" w14:textId="77777777" w:rsidR="007C68B7" w:rsidRPr="002E7A81" w:rsidRDefault="007C68B7" w:rsidP="007C68B7">
      <w:pPr>
        <w:jc w:val="both"/>
        <w:rPr>
          <w:rFonts w:ascii="Arial" w:eastAsia="Calibri" w:hAnsi="Arial" w:cs="Arial"/>
          <w:sz w:val="22"/>
          <w:szCs w:val="22"/>
          <w:lang w:eastAsia="en-GB"/>
        </w:rPr>
      </w:pPr>
    </w:p>
    <w:p w14:paraId="4D810D84" w14:textId="77777777" w:rsidR="007C68B7" w:rsidRPr="002E7A81" w:rsidRDefault="007C68B7" w:rsidP="007C68B7">
      <w:pPr>
        <w:rPr>
          <w:rFonts w:ascii="Arial" w:eastAsia="Calibri" w:hAnsi="Arial" w:cs="Arial"/>
          <w:sz w:val="22"/>
          <w:szCs w:val="22"/>
          <w:lang w:eastAsia="en-GB"/>
        </w:rPr>
      </w:pPr>
      <w:r w:rsidRPr="002E7A81">
        <w:rPr>
          <w:rFonts w:ascii="Arial" w:eastAsia="Calibri" w:hAnsi="Arial" w:cs="Arial"/>
          <w:sz w:val="22"/>
          <w:szCs w:val="22"/>
          <w:lang w:eastAsia="en-GB"/>
        </w:rPr>
        <w:t xml:space="preserve">This response is made in accordance with the Council’s Planning Applications Policy, as adopted </w:t>
      </w:r>
      <w:r w:rsidR="00D42007">
        <w:rPr>
          <w:rFonts w:ascii="Arial" w:eastAsia="Calibri" w:hAnsi="Arial" w:cs="Arial"/>
          <w:sz w:val="22"/>
          <w:szCs w:val="22"/>
          <w:lang w:eastAsia="en-GB"/>
        </w:rPr>
        <w:t>Datexx.</w:t>
      </w:r>
    </w:p>
    <w:p w14:paraId="6AF04FA0" w14:textId="77777777" w:rsidR="007C68B7" w:rsidRPr="002E7A81" w:rsidRDefault="007C68B7" w:rsidP="007C68B7">
      <w:pPr>
        <w:rPr>
          <w:rFonts w:ascii="Arial" w:eastAsia="Calibri" w:hAnsi="Arial" w:cs="Arial"/>
          <w:sz w:val="22"/>
          <w:szCs w:val="22"/>
          <w:lang w:eastAsia="en-GB"/>
        </w:rPr>
      </w:pPr>
    </w:p>
    <w:p w14:paraId="202BA2B1" w14:textId="77777777" w:rsidR="007C68B7" w:rsidRPr="002E7A81" w:rsidRDefault="007C68B7" w:rsidP="007C68B7">
      <w:pPr>
        <w:rPr>
          <w:rFonts w:ascii="Arial" w:eastAsia="Calibri" w:hAnsi="Arial" w:cs="Arial"/>
          <w:sz w:val="22"/>
          <w:szCs w:val="22"/>
          <w:lang w:eastAsia="en-GB"/>
        </w:rPr>
      </w:pPr>
      <w:r w:rsidRPr="002E7A81">
        <w:rPr>
          <w:rFonts w:ascii="Arial" w:eastAsia="Calibri" w:hAnsi="Arial" w:cs="Arial"/>
          <w:sz w:val="22"/>
          <w:szCs w:val="22"/>
          <w:lang w:eastAsia="en-GB"/>
        </w:rPr>
        <w:t>Regards</w:t>
      </w:r>
    </w:p>
    <w:p w14:paraId="450D13A0" w14:textId="77777777" w:rsidR="007C68B7" w:rsidRPr="002E7A81" w:rsidRDefault="007C68B7" w:rsidP="007C68B7">
      <w:pPr>
        <w:rPr>
          <w:rFonts w:ascii="Arial" w:eastAsia="Calibri" w:hAnsi="Arial" w:cs="Arial"/>
          <w:sz w:val="22"/>
          <w:szCs w:val="22"/>
          <w:lang w:eastAsia="en-GB"/>
        </w:rPr>
      </w:pPr>
    </w:p>
    <w:p w14:paraId="3A14D693" w14:textId="77777777" w:rsidR="007C68B7" w:rsidRPr="002E7A81" w:rsidRDefault="007C68B7" w:rsidP="007C68B7">
      <w:pPr>
        <w:rPr>
          <w:rFonts w:ascii="Arial" w:eastAsia="Calibri" w:hAnsi="Arial" w:cs="Arial"/>
          <w:sz w:val="22"/>
          <w:szCs w:val="22"/>
          <w:lang w:eastAsia="en-GB"/>
        </w:rPr>
      </w:pPr>
      <w:r w:rsidRPr="002E7A81">
        <w:rPr>
          <w:rFonts w:ascii="Arial" w:eastAsia="Calibri" w:hAnsi="Arial" w:cs="Arial"/>
          <w:sz w:val="22"/>
          <w:szCs w:val="22"/>
          <w:lang w:eastAsia="en-GB"/>
        </w:rPr>
        <w:t>For Kempley Parish Council</w:t>
      </w:r>
    </w:p>
    <w:p w14:paraId="4C78A22A" w14:textId="7E021A44" w:rsidR="004D30FC" w:rsidRDefault="004D30FC">
      <w:pPr>
        <w:rPr>
          <w:rFonts w:ascii="Arial" w:hAnsi="Arial" w:cs="Arial"/>
          <w:i/>
          <w:szCs w:val="24"/>
          <w:lang w:val="en-US" w:eastAsia="ar-SA"/>
        </w:rPr>
      </w:pPr>
      <w:r>
        <w:rPr>
          <w:rFonts w:ascii="Arial" w:hAnsi="Arial" w:cs="Arial"/>
          <w:i/>
          <w:szCs w:val="24"/>
          <w:lang w:val="en-US" w:eastAsia="ar-SA"/>
        </w:rPr>
        <w:br w:type="page"/>
      </w:r>
    </w:p>
    <w:p w14:paraId="31B6A24F" w14:textId="0E2B76E0" w:rsidR="004F5C00" w:rsidRDefault="004D30FC" w:rsidP="007C68B7">
      <w:pPr>
        <w:pStyle w:val="ListParagraph"/>
        <w:spacing w:before="120"/>
        <w:ind w:left="0"/>
        <w:jc w:val="both"/>
        <w:rPr>
          <w:rFonts w:ascii="Arial" w:hAnsi="Arial" w:cs="Arial"/>
          <w:iCs/>
          <w:szCs w:val="24"/>
          <w:lang w:val="en-US" w:eastAsia="ar-SA"/>
        </w:rPr>
      </w:pPr>
      <w:r>
        <w:rPr>
          <w:rFonts w:ascii="Arial" w:hAnsi="Arial" w:cs="Arial"/>
          <w:iCs/>
          <w:szCs w:val="24"/>
          <w:lang w:val="en-US" w:eastAsia="ar-SA"/>
        </w:rPr>
        <w:t>Annex 2</w:t>
      </w:r>
    </w:p>
    <w:p w14:paraId="347C21F4" w14:textId="192F586C" w:rsidR="004D30FC" w:rsidRDefault="004D30FC" w:rsidP="007C68B7">
      <w:pPr>
        <w:pStyle w:val="ListParagraph"/>
        <w:spacing w:before="120"/>
        <w:ind w:left="0"/>
        <w:jc w:val="both"/>
        <w:rPr>
          <w:rFonts w:ascii="Arial" w:hAnsi="Arial" w:cs="Arial"/>
          <w:iCs/>
          <w:szCs w:val="24"/>
          <w:lang w:val="en-US" w:eastAsia="ar-SA"/>
        </w:rPr>
      </w:pPr>
    </w:p>
    <w:p w14:paraId="21EE776D" w14:textId="77777777" w:rsidR="004D30FC" w:rsidRPr="008C121E" w:rsidRDefault="004D30FC" w:rsidP="004D30FC">
      <w:pPr>
        <w:shd w:val="clear" w:color="auto" w:fill="FFFFFF"/>
        <w:spacing w:before="300" w:after="150"/>
        <w:outlineLvl w:val="1"/>
        <w:rPr>
          <w:rFonts w:ascii="inherit" w:hAnsi="inherit"/>
          <w:color w:val="333333"/>
          <w:sz w:val="30"/>
          <w:szCs w:val="30"/>
          <w:lang w:eastAsia="en-GB"/>
        </w:rPr>
      </w:pPr>
      <w:r w:rsidRPr="008C121E">
        <w:rPr>
          <w:rFonts w:ascii="Calibri" w:hAnsi="Calibri" w:cs="Calibri"/>
          <w:color w:val="333333"/>
          <w:sz w:val="30"/>
          <w:szCs w:val="30"/>
          <w:lang w:val="en-US" w:eastAsia="en-GB"/>
        </w:rPr>
        <w:t>Valid reasons for comment on a Planning Application</w:t>
      </w:r>
    </w:p>
    <w:p w14:paraId="5468603F" w14:textId="77777777" w:rsidR="004D30FC" w:rsidRPr="008C121E" w:rsidRDefault="004D30FC" w:rsidP="004D30FC">
      <w:pPr>
        <w:shd w:val="clear" w:color="auto" w:fill="FFFFFF"/>
        <w:spacing w:after="150"/>
        <w:rPr>
          <w:rFonts w:ascii="Helvetica Neue" w:hAnsi="Helvetica Neue"/>
          <w:color w:val="333333"/>
          <w:sz w:val="21"/>
          <w:szCs w:val="21"/>
          <w:lang w:eastAsia="en-GB"/>
        </w:rPr>
      </w:pPr>
      <w:r w:rsidRPr="008C121E">
        <w:rPr>
          <w:rFonts w:ascii="Calibri" w:hAnsi="Calibri" w:cs="Calibri"/>
          <w:color w:val="333333"/>
          <w:sz w:val="21"/>
          <w:szCs w:val="21"/>
          <w:lang w:val="en-US" w:eastAsia="en-GB"/>
        </w:rPr>
        <w:t>Comments that are clear, concise and accurate stand more chance of being accepted than those that are not. When planning applications are considered, the following matters can all be relevant. These are sometimes referred to as ‘material planning considerations’:</w:t>
      </w:r>
    </w:p>
    <w:p w14:paraId="43412DF3"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Central government policy and guidance - Acts, Circulars, Planning Policy Guidance Notes (PPGs) etc. </w:t>
      </w:r>
    </w:p>
    <w:p w14:paraId="368C8DAF"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The Development Plan - and any review of the Development Plan which is underway.</w:t>
      </w:r>
    </w:p>
    <w:p w14:paraId="49243436"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Adopted supplementary guidance - for example, village design statements, conservation area appraisals, car parking standards.</w:t>
      </w:r>
    </w:p>
    <w:p w14:paraId="0CF3D9F5"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Replies from statutory and non-statutory agencies (e.g. Environment Agency, Highways Authority). </w:t>
      </w:r>
    </w:p>
    <w:p w14:paraId="01FD336C"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Representations from others - neighbours, amenity groups and other interested parties so long as they relate to land use matters. </w:t>
      </w:r>
    </w:p>
    <w:p w14:paraId="69AA582D"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Effects on an area - this includes the character of an area, availability of infrastructure, density, over-development, layout, position, design and external appearance of buildings and landscaping </w:t>
      </w:r>
    </w:p>
    <w:p w14:paraId="47059B0E"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The need to safeguard valuable resources such as good farmland or mineral reserves. </w:t>
      </w:r>
    </w:p>
    <w:p w14:paraId="3D1A375C"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Highway safety issues - such as traffic generation, road capacity, means of access, visibility, car parking and effects on pedestrians and cyclists. </w:t>
      </w:r>
    </w:p>
    <w:p w14:paraId="31CAA501"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Public services - such as drainage and water supply </w:t>
      </w:r>
    </w:p>
    <w:p w14:paraId="4628F65F"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Public proposals for using the same land </w:t>
      </w:r>
    </w:p>
    <w:p w14:paraId="2C8080A4"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Effects on individual buildings - such as overlooking, loss of light, overshadowing, visual intrusion, noise, disturbance and smell. </w:t>
      </w:r>
    </w:p>
    <w:p w14:paraId="58D3DD28"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Effects on a specially designated area or building - such as green belt, conservation areas, listed buildings, ancient monuments and areas of special scientific interest. </w:t>
      </w:r>
    </w:p>
    <w:p w14:paraId="52D82F9B"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Effects on existing tree cover and hedgerows. </w:t>
      </w:r>
    </w:p>
    <w:p w14:paraId="4AA7329C"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Nature conservation interests - such as protection of badgers, great crested newts etc. </w:t>
      </w:r>
    </w:p>
    <w:p w14:paraId="0B4D7AB1"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Public rights of way</w:t>
      </w:r>
    </w:p>
    <w:p w14:paraId="3668A0FB"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Flooding or pollution. </w:t>
      </w:r>
    </w:p>
    <w:p w14:paraId="66F49E5D"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Planning history of the site - including existing permissions and appeal decisions. </w:t>
      </w:r>
    </w:p>
    <w:p w14:paraId="516C462D"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A desire to retain or promote certain uses - such as playing fields, village shops and pubs.</w:t>
      </w:r>
    </w:p>
    <w:p w14:paraId="41CD17DF"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Need for the development - such as a petrol station </w:t>
      </w:r>
    </w:p>
    <w:p w14:paraId="74199296"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Prevention of crime and disorder </w:t>
      </w:r>
    </w:p>
    <w:p w14:paraId="141976C3"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Presence of a hazardous substance directly associated with a development </w:t>
      </w:r>
    </w:p>
    <w:p w14:paraId="2FEDCA77"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Human Rights Act </w:t>
      </w:r>
    </w:p>
    <w:p w14:paraId="507D16D7" w14:textId="77777777" w:rsidR="004D30FC" w:rsidRPr="008C121E" w:rsidRDefault="004D30FC" w:rsidP="004D30FC">
      <w:pPr>
        <w:numPr>
          <w:ilvl w:val="0"/>
          <w:numId w:val="29"/>
        </w:numPr>
        <w:shd w:val="clear" w:color="auto" w:fill="FFFFFF"/>
        <w:ind w:left="495"/>
        <w:rPr>
          <w:color w:val="000000"/>
          <w:lang w:eastAsia="en-GB"/>
        </w:rPr>
      </w:pPr>
      <w:r w:rsidRPr="008C121E">
        <w:rPr>
          <w:rFonts w:ascii="Calibri" w:hAnsi="Calibri" w:cs="Calibri"/>
          <w:color w:val="000000"/>
          <w:lang w:val="en-US" w:eastAsia="en-GB"/>
        </w:rPr>
        <w:t>Precedent - but only where it can be shown there would be a real danger that a proposal would inevitably lead to other inappropriate development (for example, isolated housing in the countryside) </w:t>
      </w:r>
    </w:p>
    <w:p w14:paraId="69E20740" w14:textId="77777777" w:rsidR="004D30FC" w:rsidRPr="008C121E" w:rsidRDefault="004D30FC" w:rsidP="004D30FC">
      <w:pPr>
        <w:shd w:val="clear" w:color="auto" w:fill="FFFFFF"/>
        <w:spacing w:before="300" w:after="150"/>
        <w:outlineLvl w:val="1"/>
        <w:rPr>
          <w:rFonts w:ascii="inherit" w:hAnsi="inherit"/>
          <w:color w:val="333333"/>
          <w:sz w:val="30"/>
          <w:szCs w:val="30"/>
          <w:lang w:eastAsia="en-GB"/>
        </w:rPr>
      </w:pPr>
      <w:r w:rsidRPr="008C121E">
        <w:rPr>
          <w:rFonts w:ascii="Calibri" w:hAnsi="Calibri" w:cs="Calibri"/>
          <w:color w:val="333333"/>
          <w:sz w:val="30"/>
          <w:szCs w:val="30"/>
          <w:lang w:val="en-US" w:eastAsia="en-GB"/>
        </w:rPr>
        <w:t>Irrelevant reasons for objection</w:t>
      </w:r>
    </w:p>
    <w:p w14:paraId="1F3D1797" w14:textId="77777777" w:rsidR="004D30FC" w:rsidRPr="008C121E" w:rsidRDefault="004D30FC" w:rsidP="004D30FC">
      <w:pPr>
        <w:shd w:val="clear" w:color="auto" w:fill="FFFFFF"/>
        <w:spacing w:after="150"/>
        <w:rPr>
          <w:rFonts w:ascii="Helvetica Neue" w:hAnsi="Helvetica Neue"/>
          <w:color w:val="333333"/>
          <w:sz w:val="21"/>
          <w:szCs w:val="21"/>
          <w:lang w:eastAsia="en-GB"/>
        </w:rPr>
      </w:pPr>
      <w:r w:rsidRPr="008C121E">
        <w:rPr>
          <w:rFonts w:ascii="Calibri" w:hAnsi="Calibri" w:cs="Calibri"/>
          <w:color w:val="333333"/>
          <w:sz w:val="21"/>
          <w:szCs w:val="21"/>
          <w:lang w:val="en-US" w:eastAsia="en-GB"/>
        </w:rPr>
        <w:t>There are certain matters which do not amount to ‘material planning considerations’ under current legislation and guidance. These matters cannot be taken into account in considering a planning application and should not be included in objections as they weaken your case: </w:t>
      </w:r>
    </w:p>
    <w:p w14:paraId="05BEC092"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Speculation over future use</w:t>
      </w:r>
    </w:p>
    <w:p w14:paraId="01EE43CF"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The identity of the applicant or occupant </w:t>
      </w:r>
    </w:p>
    <w:p w14:paraId="2CAC1A77"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Unfair competition </w:t>
      </w:r>
    </w:p>
    <w:p w14:paraId="61801EE6"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Boundary disputes </w:t>
      </w:r>
    </w:p>
    <w:p w14:paraId="0B2E3BF8"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Breach of covenants and personal property rights, including personal (not Public) rights of way </w:t>
      </w:r>
    </w:p>
    <w:p w14:paraId="07BF477A"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Loss of a private view </w:t>
      </w:r>
    </w:p>
    <w:p w14:paraId="5025D781"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Devaluation of property </w:t>
      </w:r>
    </w:p>
    <w:p w14:paraId="56C954F1"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Other financial matters </w:t>
      </w:r>
    </w:p>
    <w:p w14:paraId="04CC7CAB"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Matters controlled by other legislation - such as internal space standards for dwellings or fire prevention</w:t>
      </w:r>
    </w:p>
    <w:p w14:paraId="33D75ACD"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Religious or moral issues - such as betting shops and amusement arcades </w:t>
      </w:r>
    </w:p>
    <w:p w14:paraId="67C34A87"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The fact that the applicant does not own the land to which the application relates </w:t>
      </w:r>
    </w:p>
    <w:p w14:paraId="4A0F1800"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The fact that an objector is a tenant of land where the development is proposed </w:t>
      </w:r>
    </w:p>
    <w:p w14:paraId="4018949D"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The fact that the development has already been carried out and the applicant is seeking to regularise the situation.  People can carry out development at their own risk before getting planning permission) </w:t>
      </w:r>
    </w:p>
    <w:p w14:paraId="0A0A11FF" w14:textId="77777777" w:rsidR="004D30FC" w:rsidRPr="008C121E" w:rsidRDefault="004D30FC" w:rsidP="004D30FC">
      <w:pPr>
        <w:numPr>
          <w:ilvl w:val="0"/>
          <w:numId w:val="30"/>
        </w:numPr>
        <w:shd w:val="clear" w:color="auto" w:fill="FFFFFF"/>
        <w:ind w:left="495"/>
        <w:rPr>
          <w:color w:val="000000"/>
          <w:lang w:eastAsia="en-GB"/>
        </w:rPr>
      </w:pPr>
      <w:r w:rsidRPr="008C121E">
        <w:rPr>
          <w:rFonts w:ascii="Calibri" w:hAnsi="Calibri" w:cs="Calibri"/>
          <w:color w:val="000000"/>
          <w:lang w:val="en-US" w:eastAsia="en-GB"/>
        </w:rPr>
        <w:t>The developer’s motives, record or reputation</w:t>
      </w:r>
    </w:p>
    <w:p w14:paraId="3F6117A3" w14:textId="77777777" w:rsidR="004D30FC" w:rsidRPr="008C121E" w:rsidRDefault="004D30FC" w:rsidP="004D30FC">
      <w:pPr>
        <w:shd w:val="clear" w:color="auto" w:fill="FFFFFF"/>
        <w:spacing w:before="300" w:after="150"/>
        <w:outlineLvl w:val="1"/>
        <w:rPr>
          <w:rFonts w:ascii="inherit" w:hAnsi="inherit"/>
          <w:color w:val="333333"/>
          <w:sz w:val="30"/>
          <w:szCs w:val="30"/>
          <w:lang w:eastAsia="en-GB"/>
        </w:rPr>
      </w:pPr>
      <w:r w:rsidRPr="008C121E">
        <w:rPr>
          <w:rFonts w:ascii="Calibri" w:hAnsi="Calibri" w:cs="Calibri"/>
          <w:color w:val="333333"/>
          <w:sz w:val="30"/>
          <w:szCs w:val="30"/>
          <w:lang w:val="en-US" w:eastAsia="en-GB"/>
        </w:rPr>
        <w:t>Other Matters – “concerns and issues”</w:t>
      </w:r>
    </w:p>
    <w:p w14:paraId="0AD4A44E" w14:textId="77777777" w:rsidR="004D30FC" w:rsidRPr="008C121E" w:rsidRDefault="004D30FC" w:rsidP="004D30FC">
      <w:pPr>
        <w:shd w:val="clear" w:color="auto" w:fill="FFFFFF"/>
        <w:spacing w:after="150"/>
        <w:rPr>
          <w:rFonts w:ascii="Helvetica Neue" w:hAnsi="Helvetica Neue"/>
          <w:color w:val="333333"/>
          <w:sz w:val="21"/>
          <w:szCs w:val="21"/>
          <w:lang w:eastAsia="en-GB"/>
        </w:rPr>
      </w:pPr>
      <w:r w:rsidRPr="008C121E">
        <w:rPr>
          <w:rFonts w:ascii="Calibri" w:hAnsi="Calibri" w:cs="Calibri"/>
          <w:color w:val="333333"/>
          <w:sz w:val="21"/>
          <w:szCs w:val="21"/>
          <w:lang w:val="en-US" w:eastAsia="en-GB"/>
        </w:rPr>
        <w:t>The person making a planning application has to provide enough information for the application to be determined. They do not have to provide every single detail before an application can be approved because certain matters can be resolved by way of conditions included as part of the permission. </w:t>
      </w:r>
    </w:p>
    <w:p w14:paraId="1AB000E1" w14:textId="77777777" w:rsidR="004D30FC" w:rsidRPr="008C121E" w:rsidRDefault="004D30FC" w:rsidP="004D30FC">
      <w:pPr>
        <w:shd w:val="clear" w:color="auto" w:fill="FFFFFF"/>
        <w:spacing w:after="150"/>
        <w:rPr>
          <w:rFonts w:ascii="Helvetica Neue" w:hAnsi="Helvetica Neue"/>
          <w:color w:val="333333"/>
          <w:sz w:val="21"/>
          <w:szCs w:val="21"/>
          <w:lang w:eastAsia="en-GB"/>
        </w:rPr>
      </w:pPr>
      <w:r w:rsidRPr="008C121E">
        <w:rPr>
          <w:rFonts w:ascii="Calibri" w:hAnsi="Calibri" w:cs="Calibri"/>
          <w:color w:val="333333"/>
          <w:sz w:val="21"/>
          <w:szCs w:val="21"/>
          <w:lang w:val="en-US" w:eastAsia="en-GB"/>
        </w:rPr>
        <w:t>Because of this, certain issues may not be considered as ‘objections’ but it is entirely reasonable for you to raise concerns on such issues and to ask to be kept informed before they are approved. These include: </w:t>
      </w:r>
    </w:p>
    <w:p w14:paraId="6D1E8895" w14:textId="77777777" w:rsidR="004D30FC" w:rsidRPr="008C121E" w:rsidRDefault="004D30FC" w:rsidP="004D30FC">
      <w:pPr>
        <w:numPr>
          <w:ilvl w:val="0"/>
          <w:numId w:val="31"/>
        </w:numPr>
        <w:shd w:val="clear" w:color="auto" w:fill="FFFFFF"/>
        <w:ind w:left="495"/>
        <w:rPr>
          <w:color w:val="000000"/>
          <w:lang w:eastAsia="en-GB"/>
        </w:rPr>
      </w:pPr>
      <w:r w:rsidRPr="008C121E">
        <w:rPr>
          <w:rFonts w:ascii="Calibri" w:hAnsi="Calibri" w:cs="Calibri"/>
          <w:color w:val="000000"/>
          <w:lang w:val="en-US" w:eastAsia="en-GB"/>
        </w:rPr>
        <w:t>The proposed type and colour of the materials to be used </w:t>
      </w:r>
    </w:p>
    <w:p w14:paraId="476ABBF5" w14:textId="77777777" w:rsidR="004D30FC" w:rsidRPr="008C121E" w:rsidRDefault="004D30FC" w:rsidP="004D30FC">
      <w:pPr>
        <w:numPr>
          <w:ilvl w:val="0"/>
          <w:numId w:val="31"/>
        </w:numPr>
        <w:shd w:val="clear" w:color="auto" w:fill="FFFFFF"/>
        <w:ind w:left="495"/>
        <w:rPr>
          <w:color w:val="000000"/>
          <w:lang w:eastAsia="en-GB"/>
        </w:rPr>
      </w:pPr>
      <w:r w:rsidRPr="008C121E">
        <w:rPr>
          <w:rFonts w:ascii="Calibri" w:hAnsi="Calibri" w:cs="Calibri"/>
          <w:color w:val="000000"/>
          <w:lang w:val="en-US" w:eastAsia="en-GB"/>
        </w:rPr>
        <w:t>The exact nature of any proposed planting or boundary treatment</w:t>
      </w:r>
    </w:p>
    <w:p w14:paraId="64B97B58" w14:textId="77777777" w:rsidR="004D30FC" w:rsidRDefault="004D30FC" w:rsidP="004D30FC"/>
    <w:p w14:paraId="485FE55A" w14:textId="77777777" w:rsidR="004D30FC" w:rsidRPr="00F71BA2" w:rsidRDefault="004D30FC" w:rsidP="007C68B7">
      <w:pPr>
        <w:pStyle w:val="ListParagraph"/>
        <w:spacing w:before="120"/>
        <w:ind w:left="0"/>
        <w:jc w:val="both"/>
        <w:rPr>
          <w:rFonts w:ascii="Arial" w:hAnsi="Arial" w:cs="Arial"/>
          <w:iCs/>
          <w:szCs w:val="24"/>
          <w:lang w:eastAsia="ar-SA"/>
        </w:rPr>
      </w:pPr>
    </w:p>
    <w:sectPr w:rsidR="004D30FC" w:rsidRPr="00F71BA2" w:rsidSect="00C601C0">
      <w:footerReference w:type="default" r:id="rId15"/>
      <w:pgSz w:w="11906" w:h="16838"/>
      <w:pgMar w:top="1440" w:right="1133" w:bottom="1276" w:left="156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8D7E" w14:textId="77777777" w:rsidR="000570BC" w:rsidRDefault="000570BC" w:rsidP="00E77177">
      <w:r>
        <w:separator/>
      </w:r>
    </w:p>
  </w:endnote>
  <w:endnote w:type="continuationSeparator" w:id="0">
    <w:p w14:paraId="10392E6E" w14:textId="77777777" w:rsidR="000570BC" w:rsidRDefault="000570B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FCA5" w14:textId="77777777" w:rsidR="00A61DBD" w:rsidRPr="009E58A9" w:rsidRDefault="00A61DBD" w:rsidP="009E58A9">
    <w:pPr>
      <w:pStyle w:val="Footer"/>
      <w:jc w:val="center"/>
      <w:rPr>
        <w:rFonts w:ascii="Arial" w:hAnsi="Arial" w:cs="Arial"/>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469"/>
      <w:gridCol w:w="567"/>
    </w:tblGrid>
    <w:tr w:rsidR="00A61DBD" w14:paraId="6D0BEDCC" w14:textId="77777777" w:rsidTr="00C601C0">
      <w:tc>
        <w:tcPr>
          <w:tcW w:w="4178" w:type="dxa"/>
        </w:tcPr>
        <w:p w14:paraId="4D9A3AE7" w14:textId="77777777" w:rsidR="00A61DBD" w:rsidRPr="00D44BF1" w:rsidRDefault="00A61DBD" w:rsidP="00583A57">
          <w:pPr>
            <w:pStyle w:val="Footer"/>
            <w:rPr>
              <w:rFonts w:ascii="Arial" w:hAnsi="Arial" w:cs="Arial"/>
              <w:b/>
              <w:sz w:val="20"/>
            </w:rPr>
          </w:pPr>
          <w:r w:rsidRPr="00D44BF1">
            <w:rPr>
              <w:rFonts w:ascii="Arial" w:hAnsi="Arial" w:cs="Arial"/>
              <w:b/>
              <w:sz w:val="20"/>
            </w:rPr>
            <w:t xml:space="preserve">KPC </w:t>
          </w:r>
          <w:r w:rsidR="008015BD">
            <w:rPr>
              <w:rFonts w:ascii="Arial" w:hAnsi="Arial" w:cs="Arial"/>
              <w:b/>
              <w:sz w:val="20"/>
            </w:rPr>
            <w:t xml:space="preserve">PLANNING APPLICATIONS </w:t>
          </w:r>
          <w:r w:rsidR="0029078F">
            <w:rPr>
              <w:rFonts w:ascii="Arial" w:hAnsi="Arial" w:cs="Arial"/>
              <w:b/>
              <w:sz w:val="20"/>
            </w:rPr>
            <w:t>POLICY</w:t>
          </w:r>
        </w:p>
      </w:tc>
      <w:tc>
        <w:tcPr>
          <w:tcW w:w="4469" w:type="dxa"/>
        </w:tcPr>
        <w:p w14:paraId="30D29E97" w14:textId="77777777" w:rsidR="00A61DBD" w:rsidRPr="00D44BF1" w:rsidRDefault="00E96E99" w:rsidP="00C601C0">
          <w:pPr>
            <w:pStyle w:val="Footer"/>
            <w:tabs>
              <w:tab w:val="clear" w:pos="4153"/>
            </w:tabs>
            <w:ind w:right="53"/>
            <w:jc w:val="right"/>
            <w:rPr>
              <w:rFonts w:ascii="Arial" w:hAnsi="Arial" w:cs="Arial"/>
              <w:b/>
              <w:sz w:val="20"/>
            </w:rPr>
          </w:pPr>
          <w:r>
            <w:rPr>
              <w:rFonts w:ascii="Arial" w:hAnsi="Arial" w:cs="Arial"/>
              <w:b/>
              <w:sz w:val="20"/>
            </w:rPr>
            <w:t xml:space="preserve">Page </w:t>
          </w:r>
          <w:r w:rsidR="001116DC">
            <w:rPr>
              <w:rFonts w:ascii="Arial" w:hAnsi="Arial" w:cs="Arial"/>
              <w:b/>
              <w:sz w:val="20"/>
            </w:rPr>
            <w:fldChar w:fldCharType="begin"/>
          </w:r>
          <w:r w:rsidR="001116DC">
            <w:rPr>
              <w:rFonts w:ascii="Arial" w:hAnsi="Arial" w:cs="Arial"/>
              <w:b/>
              <w:sz w:val="20"/>
            </w:rPr>
            <w:instrText xml:space="preserve"> PAGE   \* MERGEFORMAT </w:instrText>
          </w:r>
          <w:r w:rsidR="001116DC">
            <w:rPr>
              <w:rFonts w:ascii="Arial" w:hAnsi="Arial" w:cs="Arial"/>
              <w:b/>
              <w:sz w:val="20"/>
            </w:rPr>
            <w:fldChar w:fldCharType="separate"/>
          </w:r>
          <w:r w:rsidR="00581CEE">
            <w:rPr>
              <w:rFonts w:ascii="Arial" w:hAnsi="Arial" w:cs="Arial"/>
              <w:b/>
              <w:noProof/>
              <w:sz w:val="20"/>
            </w:rPr>
            <w:t>5</w:t>
          </w:r>
          <w:r w:rsidR="001116DC">
            <w:rPr>
              <w:rFonts w:ascii="Arial" w:hAnsi="Arial" w:cs="Arial"/>
              <w:b/>
              <w:sz w:val="20"/>
            </w:rPr>
            <w:fldChar w:fldCharType="end"/>
          </w:r>
        </w:p>
      </w:tc>
      <w:tc>
        <w:tcPr>
          <w:tcW w:w="567" w:type="dxa"/>
        </w:tcPr>
        <w:p w14:paraId="1B1AC533" w14:textId="49363654" w:rsidR="00A61DBD" w:rsidRPr="00D44BF1" w:rsidRDefault="00A61DBD" w:rsidP="00660A44">
          <w:pPr>
            <w:pStyle w:val="Footer"/>
            <w:jc w:val="right"/>
            <w:rPr>
              <w:rFonts w:ascii="Arial" w:hAnsi="Arial" w:cs="Arial"/>
              <w:b/>
              <w:sz w:val="20"/>
            </w:rPr>
          </w:pPr>
        </w:p>
      </w:tc>
    </w:tr>
  </w:tbl>
  <w:p w14:paraId="7DAE94C1" w14:textId="77777777" w:rsidR="00D023E3" w:rsidRPr="009E58A9" w:rsidRDefault="00D023E3"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F153" w14:textId="77777777" w:rsidR="000570BC" w:rsidRDefault="000570BC" w:rsidP="00E77177">
      <w:r>
        <w:separator/>
      </w:r>
    </w:p>
  </w:footnote>
  <w:footnote w:type="continuationSeparator" w:id="0">
    <w:p w14:paraId="74ADF40E" w14:textId="77777777" w:rsidR="000570BC" w:rsidRDefault="000570B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5204677"/>
    <w:multiLevelType w:val="hybridMultilevel"/>
    <w:tmpl w:val="F61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834F44"/>
    <w:multiLevelType w:val="hybridMultilevel"/>
    <w:tmpl w:val="BC0CB7C6"/>
    <w:lvl w:ilvl="0" w:tplc="C88E647E">
      <w:start w:val="1"/>
      <w:numFmt w:val="decimal"/>
      <w:lvlText w:val="%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0FD6B6C"/>
    <w:multiLevelType w:val="hybridMultilevel"/>
    <w:tmpl w:val="AE28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2582A"/>
    <w:multiLevelType w:val="multilevel"/>
    <w:tmpl w:val="366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F5016"/>
    <w:multiLevelType w:val="hybridMultilevel"/>
    <w:tmpl w:val="3E0A89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754"/>
    <w:multiLevelType w:val="multilevel"/>
    <w:tmpl w:val="7BD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8638B"/>
    <w:multiLevelType w:val="hybridMultilevel"/>
    <w:tmpl w:val="2404EF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12D7D"/>
    <w:multiLevelType w:val="hybridMultilevel"/>
    <w:tmpl w:val="F9469F60"/>
    <w:lvl w:ilvl="0" w:tplc="9542A5E0">
      <w:start w:val="6"/>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187050"/>
    <w:multiLevelType w:val="hybridMultilevel"/>
    <w:tmpl w:val="D5E2DC40"/>
    <w:lvl w:ilvl="0" w:tplc="708052EA">
      <w:start w:val="5"/>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65BD0"/>
    <w:multiLevelType w:val="hybridMultilevel"/>
    <w:tmpl w:val="1F9E6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BB4505C"/>
    <w:multiLevelType w:val="multilevel"/>
    <w:tmpl w:val="4D1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15CDD"/>
    <w:multiLevelType w:val="hybridMultilevel"/>
    <w:tmpl w:val="935C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11EA4"/>
    <w:multiLevelType w:val="hybridMultilevel"/>
    <w:tmpl w:val="643A9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167AA"/>
    <w:multiLevelType w:val="hybridMultilevel"/>
    <w:tmpl w:val="61B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8958B9"/>
    <w:multiLevelType w:val="hybridMultilevel"/>
    <w:tmpl w:val="D6E468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57745"/>
    <w:multiLevelType w:val="hybridMultilevel"/>
    <w:tmpl w:val="C462819E"/>
    <w:lvl w:ilvl="0" w:tplc="B91E37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4572E0"/>
    <w:multiLevelType w:val="hybridMultilevel"/>
    <w:tmpl w:val="71AC57F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55C46"/>
    <w:multiLevelType w:val="hybridMultilevel"/>
    <w:tmpl w:val="A066D628"/>
    <w:lvl w:ilvl="0" w:tplc="DCC062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63E94"/>
    <w:multiLevelType w:val="hybridMultilevel"/>
    <w:tmpl w:val="C1240A52"/>
    <w:lvl w:ilvl="0" w:tplc="08090015">
      <w:start w:val="1"/>
      <w:numFmt w:val="upp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17273B2"/>
    <w:multiLevelType w:val="hybridMultilevel"/>
    <w:tmpl w:val="3CA276C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862F6"/>
    <w:multiLevelType w:val="hybridMultilevel"/>
    <w:tmpl w:val="84C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70644"/>
    <w:multiLevelType w:val="hybridMultilevel"/>
    <w:tmpl w:val="118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9"/>
  </w:num>
  <w:num w:numId="5">
    <w:abstractNumId w:val="18"/>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9"/>
  </w:num>
  <w:num w:numId="11">
    <w:abstractNumId w:val="17"/>
  </w:num>
  <w:num w:numId="12">
    <w:abstractNumId w:val="8"/>
  </w:num>
  <w:num w:numId="13">
    <w:abstractNumId w:val="27"/>
  </w:num>
  <w:num w:numId="14">
    <w:abstractNumId w:val="6"/>
  </w:num>
  <w:num w:numId="15">
    <w:abstractNumId w:val="19"/>
  </w:num>
  <w:num w:numId="16">
    <w:abstractNumId w:val="15"/>
  </w:num>
  <w:num w:numId="17">
    <w:abstractNumId w:val="4"/>
  </w:num>
  <w:num w:numId="18">
    <w:abstractNumId w:val="3"/>
  </w:num>
  <w:num w:numId="19">
    <w:abstractNumId w:val="1"/>
  </w:num>
  <w:num w:numId="20">
    <w:abstractNumId w:val="25"/>
  </w:num>
  <w:num w:numId="21">
    <w:abstractNumId w:val="30"/>
  </w:num>
  <w:num w:numId="22">
    <w:abstractNumId w:val="16"/>
  </w:num>
  <w:num w:numId="23">
    <w:abstractNumId w:val="20"/>
  </w:num>
  <w:num w:numId="24">
    <w:abstractNumId w:val="13"/>
  </w:num>
  <w:num w:numId="25">
    <w:abstractNumId w:val="10"/>
  </w:num>
  <w:num w:numId="26">
    <w:abstractNumId w:val="12"/>
  </w:num>
  <w:num w:numId="27">
    <w:abstractNumId w:val="24"/>
  </w:num>
  <w:num w:numId="28">
    <w:abstractNumId w:val="28"/>
  </w:num>
  <w:num w:numId="29">
    <w:abstractNumId w:val="7"/>
  </w:num>
  <w:num w:numId="30">
    <w:abstractNumId w:val="5"/>
  </w:num>
  <w:num w:numId="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361"/>
    <w:rsid w:val="00006980"/>
    <w:rsid w:val="00006C26"/>
    <w:rsid w:val="000103A0"/>
    <w:rsid w:val="0001173E"/>
    <w:rsid w:val="000165C0"/>
    <w:rsid w:val="000227BC"/>
    <w:rsid w:val="00023AAA"/>
    <w:rsid w:val="00026F13"/>
    <w:rsid w:val="00027C7B"/>
    <w:rsid w:val="0003069C"/>
    <w:rsid w:val="00032275"/>
    <w:rsid w:val="000342D4"/>
    <w:rsid w:val="0004161D"/>
    <w:rsid w:val="00042411"/>
    <w:rsid w:val="0004611C"/>
    <w:rsid w:val="000462F5"/>
    <w:rsid w:val="0004640F"/>
    <w:rsid w:val="000510D5"/>
    <w:rsid w:val="0005210C"/>
    <w:rsid w:val="000541CD"/>
    <w:rsid w:val="00055650"/>
    <w:rsid w:val="000570BC"/>
    <w:rsid w:val="000575C1"/>
    <w:rsid w:val="00057794"/>
    <w:rsid w:val="00061163"/>
    <w:rsid w:val="00063010"/>
    <w:rsid w:val="000662B4"/>
    <w:rsid w:val="000704FE"/>
    <w:rsid w:val="00072188"/>
    <w:rsid w:val="00076D9E"/>
    <w:rsid w:val="00077D88"/>
    <w:rsid w:val="00081393"/>
    <w:rsid w:val="00081B2F"/>
    <w:rsid w:val="00081B3E"/>
    <w:rsid w:val="0008318C"/>
    <w:rsid w:val="000834A7"/>
    <w:rsid w:val="00085A1C"/>
    <w:rsid w:val="00091A62"/>
    <w:rsid w:val="00093063"/>
    <w:rsid w:val="00093142"/>
    <w:rsid w:val="00095CDA"/>
    <w:rsid w:val="00097B13"/>
    <w:rsid w:val="000A6890"/>
    <w:rsid w:val="000A691E"/>
    <w:rsid w:val="000A7970"/>
    <w:rsid w:val="000B093E"/>
    <w:rsid w:val="000B6DD1"/>
    <w:rsid w:val="000C35CA"/>
    <w:rsid w:val="000C3E9C"/>
    <w:rsid w:val="000C5EDE"/>
    <w:rsid w:val="000D71AB"/>
    <w:rsid w:val="000E1955"/>
    <w:rsid w:val="000F0D96"/>
    <w:rsid w:val="000F0EF3"/>
    <w:rsid w:val="000F2D48"/>
    <w:rsid w:val="00100DDB"/>
    <w:rsid w:val="00101711"/>
    <w:rsid w:val="001028E6"/>
    <w:rsid w:val="00104582"/>
    <w:rsid w:val="00105F2B"/>
    <w:rsid w:val="00106A98"/>
    <w:rsid w:val="00106E20"/>
    <w:rsid w:val="001116DC"/>
    <w:rsid w:val="00111DEB"/>
    <w:rsid w:val="00111F17"/>
    <w:rsid w:val="00113BB1"/>
    <w:rsid w:val="00115841"/>
    <w:rsid w:val="001161B3"/>
    <w:rsid w:val="00121ABE"/>
    <w:rsid w:val="00122646"/>
    <w:rsid w:val="0012268A"/>
    <w:rsid w:val="00125E8B"/>
    <w:rsid w:val="0013122D"/>
    <w:rsid w:val="001319A1"/>
    <w:rsid w:val="00131C96"/>
    <w:rsid w:val="00133138"/>
    <w:rsid w:val="00133DA7"/>
    <w:rsid w:val="00133E42"/>
    <w:rsid w:val="00136347"/>
    <w:rsid w:val="00136C4F"/>
    <w:rsid w:val="00136FB3"/>
    <w:rsid w:val="001376C1"/>
    <w:rsid w:val="0014042A"/>
    <w:rsid w:val="00141D60"/>
    <w:rsid w:val="001548DC"/>
    <w:rsid w:val="00154B66"/>
    <w:rsid w:val="001559AB"/>
    <w:rsid w:val="00156678"/>
    <w:rsid w:val="001572B7"/>
    <w:rsid w:val="0016182F"/>
    <w:rsid w:val="00161EF0"/>
    <w:rsid w:val="0016791F"/>
    <w:rsid w:val="00170729"/>
    <w:rsid w:val="00170F2E"/>
    <w:rsid w:val="001713EB"/>
    <w:rsid w:val="0017227F"/>
    <w:rsid w:val="0017621E"/>
    <w:rsid w:val="001773ED"/>
    <w:rsid w:val="00182454"/>
    <w:rsid w:val="001841C0"/>
    <w:rsid w:val="00185153"/>
    <w:rsid w:val="0018695D"/>
    <w:rsid w:val="00191CD1"/>
    <w:rsid w:val="00196BC2"/>
    <w:rsid w:val="001A1D6E"/>
    <w:rsid w:val="001A34F7"/>
    <w:rsid w:val="001A63FE"/>
    <w:rsid w:val="001B07B6"/>
    <w:rsid w:val="001B312D"/>
    <w:rsid w:val="001C27BA"/>
    <w:rsid w:val="001C2B72"/>
    <w:rsid w:val="001C3D92"/>
    <w:rsid w:val="001C6764"/>
    <w:rsid w:val="001C6F87"/>
    <w:rsid w:val="001C7638"/>
    <w:rsid w:val="001D08C0"/>
    <w:rsid w:val="001D1CCE"/>
    <w:rsid w:val="001D24AF"/>
    <w:rsid w:val="001D3E8B"/>
    <w:rsid w:val="001D79B0"/>
    <w:rsid w:val="001E073D"/>
    <w:rsid w:val="001E3ED6"/>
    <w:rsid w:val="001E62AA"/>
    <w:rsid w:val="001F2181"/>
    <w:rsid w:val="001F3666"/>
    <w:rsid w:val="001F3CA4"/>
    <w:rsid w:val="001F4B33"/>
    <w:rsid w:val="001F4FF0"/>
    <w:rsid w:val="001F5083"/>
    <w:rsid w:val="001F6994"/>
    <w:rsid w:val="002035F3"/>
    <w:rsid w:val="00204B4E"/>
    <w:rsid w:val="00211B35"/>
    <w:rsid w:val="00212BC6"/>
    <w:rsid w:val="00213E01"/>
    <w:rsid w:val="002203BA"/>
    <w:rsid w:val="00221E83"/>
    <w:rsid w:val="002225C8"/>
    <w:rsid w:val="00225151"/>
    <w:rsid w:val="0023055F"/>
    <w:rsid w:val="00230E42"/>
    <w:rsid w:val="002324C5"/>
    <w:rsid w:val="00236712"/>
    <w:rsid w:val="002412D2"/>
    <w:rsid w:val="002454B5"/>
    <w:rsid w:val="0024569D"/>
    <w:rsid w:val="00247B24"/>
    <w:rsid w:val="00250055"/>
    <w:rsid w:val="002534C1"/>
    <w:rsid w:val="00254DAB"/>
    <w:rsid w:val="00256B48"/>
    <w:rsid w:val="00257BA7"/>
    <w:rsid w:val="00260F9B"/>
    <w:rsid w:val="002610C6"/>
    <w:rsid w:val="00262A53"/>
    <w:rsid w:val="00262AC8"/>
    <w:rsid w:val="0026695D"/>
    <w:rsid w:val="00271D84"/>
    <w:rsid w:val="00273E74"/>
    <w:rsid w:val="00274726"/>
    <w:rsid w:val="00277095"/>
    <w:rsid w:val="00277199"/>
    <w:rsid w:val="00277B7B"/>
    <w:rsid w:val="00280707"/>
    <w:rsid w:val="00280A5F"/>
    <w:rsid w:val="00281929"/>
    <w:rsid w:val="00282DAE"/>
    <w:rsid w:val="0028366A"/>
    <w:rsid w:val="0028496D"/>
    <w:rsid w:val="00284B12"/>
    <w:rsid w:val="002906B1"/>
    <w:rsid w:val="0029078F"/>
    <w:rsid w:val="002915EA"/>
    <w:rsid w:val="00291CB3"/>
    <w:rsid w:val="002934F3"/>
    <w:rsid w:val="00293581"/>
    <w:rsid w:val="00297250"/>
    <w:rsid w:val="0029760E"/>
    <w:rsid w:val="002976ED"/>
    <w:rsid w:val="002A01F7"/>
    <w:rsid w:val="002A03A4"/>
    <w:rsid w:val="002A3B1E"/>
    <w:rsid w:val="002A6F6B"/>
    <w:rsid w:val="002A70E4"/>
    <w:rsid w:val="002A7BB4"/>
    <w:rsid w:val="002A7C3F"/>
    <w:rsid w:val="002B156F"/>
    <w:rsid w:val="002B1949"/>
    <w:rsid w:val="002B1B7C"/>
    <w:rsid w:val="002B2E05"/>
    <w:rsid w:val="002B35EC"/>
    <w:rsid w:val="002B3F41"/>
    <w:rsid w:val="002B40FF"/>
    <w:rsid w:val="002B55AC"/>
    <w:rsid w:val="002C44F7"/>
    <w:rsid w:val="002C672C"/>
    <w:rsid w:val="002D1110"/>
    <w:rsid w:val="002D3662"/>
    <w:rsid w:val="002D36AF"/>
    <w:rsid w:val="002D41DA"/>
    <w:rsid w:val="002D7200"/>
    <w:rsid w:val="002E67A6"/>
    <w:rsid w:val="002E7A33"/>
    <w:rsid w:val="002E7A81"/>
    <w:rsid w:val="002F0615"/>
    <w:rsid w:val="002F09D7"/>
    <w:rsid w:val="003063C8"/>
    <w:rsid w:val="00306937"/>
    <w:rsid w:val="00306C08"/>
    <w:rsid w:val="00311497"/>
    <w:rsid w:val="00311BAC"/>
    <w:rsid w:val="00313C75"/>
    <w:rsid w:val="00317214"/>
    <w:rsid w:val="0032195E"/>
    <w:rsid w:val="003224B4"/>
    <w:rsid w:val="00323F4A"/>
    <w:rsid w:val="003249E0"/>
    <w:rsid w:val="00325AAB"/>
    <w:rsid w:val="0032604C"/>
    <w:rsid w:val="00327CB8"/>
    <w:rsid w:val="00330610"/>
    <w:rsid w:val="00330FF2"/>
    <w:rsid w:val="00331D8B"/>
    <w:rsid w:val="00334430"/>
    <w:rsid w:val="00335A54"/>
    <w:rsid w:val="00336CD6"/>
    <w:rsid w:val="00340E21"/>
    <w:rsid w:val="00341D4B"/>
    <w:rsid w:val="00343E7A"/>
    <w:rsid w:val="00352AD3"/>
    <w:rsid w:val="00353FD1"/>
    <w:rsid w:val="00354235"/>
    <w:rsid w:val="00356AD1"/>
    <w:rsid w:val="00356BF2"/>
    <w:rsid w:val="003570E6"/>
    <w:rsid w:val="00357889"/>
    <w:rsid w:val="00361B4D"/>
    <w:rsid w:val="00363397"/>
    <w:rsid w:val="00363449"/>
    <w:rsid w:val="003647D5"/>
    <w:rsid w:val="00367CE1"/>
    <w:rsid w:val="00370060"/>
    <w:rsid w:val="003726DA"/>
    <w:rsid w:val="00372B50"/>
    <w:rsid w:val="003762FA"/>
    <w:rsid w:val="00376B7A"/>
    <w:rsid w:val="003816F6"/>
    <w:rsid w:val="00386D87"/>
    <w:rsid w:val="003917BE"/>
    <w:rsid w:val="00392B9E"/>
    <w:rsid w:val="00396266"/>
    <w:rsid w:val="003965A5"/>
    <w:rsid w:val="003A10D6"/>
    <w:rsid w:val="003A2789"/>
    <w:rsid w:val="003A2B98"/>
    <w:rsid w:val="003A64B6"/>
    <w:rsid w:val="003A75F3"/>
    <w:rsid w:val="003A7A84"/>
    <w:rsid w:val="003B1511"/>
    <w:rsid w:val="003B1915"/>
    <w:rsid w:val="003B68D3"/>
    <w:rsid w:val="003B6D12"/>
    <w:rsid w:val="003B765A"/>
    <w:rsid w:val="003C1185"/>
    <w:rsid w:val="003C5ECA"/>
    <w:rsid w:val="003C5EF6"/>
    <w:rsid w:val="003C5F53"/>
    <w:rsid w:val="003C6B53"/>
    <w:rsid w:val="003D00A6"/>
    <w:rsid w:val="003D589A"/>
    <w:rsid w:val="003E4FAA"/>
    <w:rsid w:val="003E583D"/>
    <w:rsid w:val="003F0E4D"/>
    <w:rsid w:val="003F5FDF"/>
    <w:rsid w:val="003F6E7A"/>
    <w:rsid w:val="003F717E"/>
    <w:rsid w:val="00400925"/>
    <w:rsid w:val="00401591"/>
    <w:rsid w:val="00401F20"/>
    <w:rsid w:val="00403AB6"/>
    <w:rsid w:val="00407076"/>
    <w:rsid w:val="00412EB9"/>
    <w:rsid w:val="00413988"/>
    <w:rsid w:val="004163F2"/>
    <w:rsid w:val="00416802"/>
    <w:rsid w:val="00422847"/>
    <w:rsid w:val="00422C47"/>
    <w:rsid w:val="00425585"/>
    <w:rsid w:val="004309A1"/>
    <w:rsid w:val="00432C7F"/>
    <w:rsid w:val="00434AC8"/>
    <w:rsid w:val="0043647B"/>
    <w:rsid w:val="0043652B"/>
    <w:rsid w:val="00437F35"/>
    <w:rsid w:val="004431A3"/>
    <w:rsid w:val="00443D6A"/>
    <w:rsid w:val="00445736"/>
    <w:rsid w:val="004472AC"/>
    <w:rsid w:val="00447707"/>
    <w:rsid w:val="0045246D"/>
    <w:rsid w:val="00452E49"/>
    <w:rsid w:val="00452E53"/>
    <w:rsid w:val="0045491D"/>
    <w:rsid w:val="004558AF"/>
    <w:rsid w:val="004615DC"/>
    <w:rsid w:val="00466CE5"/>
    <w:rsid w:val="00466E76"/>
    <w:rsid w:val="00467E25"/>
    <w:rsid w:val="0047241B"/>
    <w:rsid w:val="00472E57"/>
    <w:rsid w:val="00472E93"/>
    <w:rsid w:val="00473A3F"/>
    <w:rsid w:val="00475677"/>
    <w:rsid w:val="00477E7B"/>
    <w:rsid w:val="00481661"/>
    <w:rsid w:val="00481C2B"/>
    <w:rsid w:val="004857B6"/>
    <w:rsid w:val="0048793A"/>
    <w:rsid w:val="004A0E61"/>
    <w:rsid w:val="004A7BDA"/>
    <w:rsid w:val="004B0BD0"/>
    <w:rsid w:val="004B1097"/>
    <w:rsid w:val="004B1623"/>
    <w:rsid w:val="004B2530"/>
    <w:rsid w:val="004B449A"/>
    <w:rsid w:val="004B568F"/>
    <w:rsid w:val="004B656E"/>
    <w:rsid w:val="004B7502"/>
    <w:rsid w:val="004C13FA"/>
    <w:rsid w:val="004C2B7B"/>
    <w:rsid w:val="004C381F"/>
    <w:rsid w:val="004C417C"/>
    <w:rsid w:val="004C7D23"/>
    <w:rsid w:val="004D1118"/>
    <w:rsid w:val="004D30FC"/>
    <w:rsid w:val="004D3475"/>
    <w:rsid w:val="004D4657"/>
    <w:rsid w:val="004D55C3"/>
    <w:rsid w:val="004E1B75"/>
    <w:rsid w:val="004E4F80"/>
    <w:rsid w:val="004E6278"/>
    <w:rsid w:val="004E77DD"/>
    <w:rsid w:val="004F2D45"/>
    <w:rsid w:val="004F39C7"/>
    <w:rsid w:val="004F5C00"/>
    <w:rsid w:val="004F72A7"/>
    <w:rsid w:val="0050199D"/>
    <w:rsid w:val="005028B6"/>
    <w:rsid w:val="00502A47"/>
    <w:rsid w:val="00502F56"/>
    <w:rsid w:val="00504967"/>
    <w:rsid w:val="0050756D"/>
    <w:rsid w:val="00510926"/>
    <w:rsid w:val="00511892"/>
    <w:rsid w:val="00517E13"/>
    <w:rsid w:val="00522819"/>
    <w:rsid w:val="00525B19"/>
    <w:rsid w:val="005263DD"/>
    <w:rsid w:val="0052730F"/>
    <w:rsid w:val="005278F7"/>
    <w:rsid w:val="0053256F"/>
    <w:rsid w:val="00537CEB"/>
    <w:rsid w:val="00540283"/>
    <w:rsid w:val="0054042F"/>
    <w:rsid w:val="00541926"/>
    <w:rsid w:val="00544CE3"/>
    <w:rsid w:val="00546871"/>
    <w:rsid w:val="00552B84"/>
    <w:rsid w:val="005628C9"/>
    <w:rsid w:val="00564380"/>
    <w:rsid w:val="00564549"/>
    <w:rsid w:val="00564944"/>
    <w:rsid w:val="0056564F"/>
    <w:rsid w:val="005668DF"/>
    <w:rsid w:val="00572677"/>
    <w:rsid w:val="005736FA"/>
    <w:rsid w:val="00573C4E"/>
    <w:rsid w:val="00576987"/>
    <w:rsid w:val="00577731"/>
    <w:rsid w:val="00580EC6"/>
    <w:rsid w:val="00581CEE"/>
    <w:rsid w:val="00582596"/>
    <w:rsid w:val="005835A5"/>
    <w:rsid w:val="00583A57"/>
    <w:rsid w:val="0058413B"/>
    <w:rsid w:val="00585898"/>
    <w:rsid w:val="00590DF9"/>
    <w:rsid w:val="00590E5A"/>
    <w:rsid w:val="005913BF"/>
    <w:rsid w:val="005926F1"/>
    <w:rsid w:val="005930C5"/>
    <w:rsid w:val="005A0886"/>
    <w:rsid w:val="005A405C"/>
    <w:rsid w:val="005A7508"/>
    <w:rsid w:val="005B2267"/>
    <w:rsid w:val="005B238A"/>
    <w:rsid w:val="005B2ACF"/>
    <w:rsid w:val="005B33CD"/>
    <w:rsid w:val="005B526E"/>
    <w:rsid w:val="005B71B2"/>
    <w:rsid w:val="005C27F8"/>
    <w:rsid w:val="005C2EF0"/>
    <w:rsid w:val="005C6413"/>
    <w:rsid w:val="005C6BB7"/>
    <w:rsid w:val="005D0FAA"/>
    <w:rsid w:val="005D2038"/>
    <w:rsid w:val="005D4470"/>
    <w:rsid w:val="005D787A"/>
    <w:rsid w:val="005D7A76"/>
    <w:rsid w:val="005E3ACA"/>
    <w:rsid w:val="005E3E4E"/>
    <w:rsid w:val="005E6A18"/>
    <w:rsid w:val="005F0BAB"/>
    <w:rsid w:val="005F1BAA"/>
    <w:rsid w:val="005F41FC"/>
    <w:rsid w:val="005F51BF"/>
    <w:rsid w:val="005F5408"/>
    <w:rsid w:val="00601776"/>
    <w:rsid w:val="00602857"/>
    <w:rsid w:val="00604A91"/>
    <w:rsid w:val="00604DED"/>
    <w:rsid w:val="00607AA8"/>
    <w:rsid w:val="00612253"/>
    <w:rsid w:val="00612DB3"/>
    <w:rsid w:val="00613448"/>
    <w:rsid w:val="00615E9F"/>
    <w:rsid w:val="00617982"/>
    <w:rsid w:val="00621B4B"/>
    <w:rsid w:val="0062325E"/>
    <w:rsid w:val="0062394F"/>
    <w:rsid w:val="00623B51"/>
    <w:rsid w:val="00623FE1"/>
    <w:rsid w:val="00624337"/>
    <w:rsid w:val="0062753E"/>
    <w:rsid w:val="00631F2E"/>
    <w:rsid w:val="00637933"/>
    <w:rsid w:val="00642042"/>
    <w:rsid w:val="00642DD7"/>
    <w:rsid w:val="00643376"/>
    <w:rsid w:val="006434DA"/>
    <w:rsid w:val="00645A14"/>
    <w:rsid w:val="00646D67"/>
    <w:rsid w:val="0064731C"/>
    <w:rsid w:val="00652CE7"/>
    <w:rsid w:val="00654891"/>
    <w:rsid w:val="00656425"/>
    <w:rsid w:val="00660A44"/>
    <w:rsid w:val="00661AA0"/>
    <w:rsid w:val="006628F1"/>
    <w:rsid w:val="006658A7"/>
    <w:rsid w:val="00666966"/>
    <w:rsid w:val="00667391"/>
    <w:rsid w:val="00671685"/>
    <w:rsid w:val="00671AED"/>
    <w:rsid w:val="0067295B"/>
    <w:rsid w:val="00675B1A"/>
    <w:rsid w:val="00675E1C"/>
    <w:rsid w:val="00676683"/>
    <w:rsid w:val="00680B37"/>
    <w:rsid w:val="0068502A"/>
    <w:rsid w:val="00685B86"/>
    <w:rsid w:val="006912D8"/>
    <w:rsid w:val="006949B0"/>
    <w:rsid w:val="00695668"/>
    <w:rsid w:val="006A0045"/>
    <w:rsid w:val="006A1734"/>
    <w:rsid w:val="006A2C0A"/>
    <w:rsid w:val="006A2C38"/>
    <w:rsid w:val="006A2EE7"/>
    <w:rsid w:val="006A2FA5"/>
    <w:rsid w:val="006A4378"/>
    <w:rsid w:val="006A4DD2"/>
    <w:rsid w:val="006A5A10"/>
    <w:rsid w:val="006A675A"/>
    <w:rsid w:val="006A6F76"/>
    <w:rsid w:val="006B4D67"/>
    <w:rsid w:val="006B52B8"/>
    <w:rsid w:val="006B5DDA"/>
    <w:rsid w:val="006C2FB3"/>
    <w:rsid w:val="006C4B83"/>
    <w:rsid w:val="006E064B"/>
    <w:rsid w:val="006E080E"/>
    <w:rsid w:val="006E157B"/>
    <w:rsid w:val="006E22C4"/>
    <w:rsid w:val="006F0E74"/>
    <w:rsid w:val="006F0FE6"/>
    <w:rsid w:val="006F17F0"/>
    <w:rsid w:val="006F5008"/>
    <w:rsid w:val="006F6366"/>
    <w:rsid w:val="00700135"/>
    <w:rsid w:val="0070077F"/>
    <w:rsid w:val="007024C9"/>
    <w:rsid w:val="00711F21"/>
    <w:rsid w:val="00712190"/>
    <w:rsid w:val="00712530"/>
    <w:rsid w:val="00712F46"/>
    <w:rsid w:val="007138CB"/>
    <w:rsid w:val="00715CDC"/>
    <w:rsid w:val="007172D9"/>
    <w:rsid w:val="0071757D"/>
    <w:rsid w:val="00720F77"/>
    <w:rsid w:val="00721F9F"/>
    <w:rsid w:val="007223DE"/>
    <w:rsid w:val="0072247D"/>
    <w:rsid w:val="00725817"/>
    <w:rsid w:val="007274F3"/>
    <w:rsid w:val="00727C33"/>
    <w:rsid w:val="00735162"/>
    <w:rsid w:val="00735963"/>
    <w:rsid w:val="00736FE9"/>
    <w:rsid w:val="007450D4"/>
    <w:rsid w:val="00746774"/>
    <w:rsid w:val="00747E06"/>
    <w:rsid w:val="00750ECC"/>
    <w:rsid w:val="007545B9"/>
    <w:rsid w:val="00754D6C"/>
    <w:rsid w:val="007555D9"/>
    <w:rsid w:val="00756E44"/>
    <w:rsid w:val="0076139A"/>
    <w:rsid w:val="007641F3"/>
    <w:rsid w:val="0076461D"/>
    <w:rsid w:val="00765EBA"/>
    <w:rsid w:val="007670C0"/>
    <w:rsid w:val="0076788F"/>
    <w:rsid w:val="0076793E"/>
    <w:rsid w:val="00770878"/>
    <w:rsid w:val="00771057"/>
    <w:rsid w:val="00772768"/>
    <w:rsid w:val="007766D5"/>
    <w:rsid w:val="00776DDB"/>
    <w:rsid w:val="00776F54"/>
    <w:rsid w:val="0077708A"/>
    <w:rsid w:val="007771DE"/>
    <w:rsid w:val="00781597"/>
    <w:rsid w:val="00782D72"/>
    <w:rsid w:val="007832EC"/>
    <w:rsid w:val="00784A51"/>
    <w:rsid w:val="00784F96"/>
    <w:rsid w:val="00786AA5"/>
    <w:rsid w:val="00791193"/>
    <w:rsid w:val="00791A3A"/>
    <w:rsid w:val="007951AB"/>
    <w:rsid w:val="00797529"/>
    <w:rsid w:val="007A0D57"/>
    <w:rsid w:val="007A14D0"/>
    <w:rsid w:val="007A26BE"/>
    <w:rsid w:val="007A3983"/>
    <w:rsid w:val="007B2ACB"/>
    <w:rsid w:val="007B6AA4"/>
    <w:rsid w:val="007B7B85"/>
    <w:rsid w:val="007C005F"/>
    <w:rsid w:val="007C0ABA"/>
    <w:rsid w:val="007C3B52"/>
    <w:rsid w:val="007C68B7"/>
    <w:rsid w:val="007D1F41"/>
    <w:rsid w:val="007D36D9"/>
    <w:rsid w:val="007D36DE"/>
    <w:rsid w:val="007D715A"/>
    <w:rsid w:val="007E2B82"/>
    <w:rsid w:val="007E3E5B"/>
    <w:rsid w:val="007E472A"/>
    <w:rsid w:val="007E7974"/>
    <w:rsid w:val="007F0445"/>
    <w:rsid w:val="007F3533"/>
    <w:rsid w:val="007F37D6"/>
    <w:rsid w:val="007F4A46"/>
    <w:rsid w:val="007F588D"/>
    <w:rsid w:val="007F5D7C"/>
    <w:rsid w:val="0080066F"/>
    <w:rsid w:val="00800D50"/>
    <w:rsid w:val="008015BD"/>
    <w:rsid w:val="008024D6"/>
    <w:rsid w:val="00803CE8"/>
    <w:rsid w:val="00805035"/>
    <w:rsid w:val="00812D49"/>
    <w:rsid w:val="00812DA4"/>
    <w:rsid w:val="00814F8F"/>
    <w:rsid w:val="00816145"/>
    <w:rsid w:val="008222ED"/>
    <w:rsid w:val="00822C76"/>
    <w:rsid w:val="00823E6C"/>
    <w:rsid w:val="0082584E"/>
    <w:rsid w:val="008302A5"/>
    <w:rsid w:val="00832A02"/>
    <w:rsid w:val="00834211"/>
    <w:rsid w:val="00835106"/>
    <w:rsid w:val="0083793A"/>
    <w:rsid w:val="00840D34"/>
    <w:rsid w:val="008424A2"/>
    <w:rsid w:val="008433FC"/>
    <w:rsid w:val="008438C9"/>
    <w:rsid w:val="00843960"/>
    <w:rsid w:val="008441B4"/>
    <w:rsid w:val="0084615B"/>
    <w:rsid w:val="00850507"/>
    <w:rsid w:val="008551AC"/>
    <w:rsid w:val="00855C92"/>
    <w:rsid w:val="00857201"/>
    <w:rsid w:val="0085724C"/>
    <w:rsid w:val="00857908"/>
    <w:rsid w:val="00857F9E"/>
    <w:rsid w:val="00861580"/>
    <w:rsid w:val="008619D6"/>
    <w:rsid w:val="008646D7"/>
    <w:rsid w:val="008669A2"/>
    <w:rsid w:val="00871566"/>
    <w:rsid w:val="00871ABA"/>
    <w:rsid w:val="00873F73"/>
    <w:rsid w:val="00877270"/>
    <w:rsid w:val="00880945"/>
    <w:rsid w:val="008818BC"/>
    <w:rsid w:val="00881E33"/>
    <w:rsid w:val="008834BA"/>
    <w:rsid w:val="00883BA0"/>
    <w:rsid w:val="00890240"/>
    <w:rsid w:val="008902F9"/>
    <w:rsid w:val="0089194B"/>
    <w:rsid w:val="0089227C"/>
    <w:rsid w:val="008940FE"/>
    <w:rsid w:val="00894D00"/>
    <w:rsid w:val="008A1887"/>
    <w:rsid w:val="008A33F6"/>
    <w:rsid w:val="008A5146"/>
    <w:rsid w:val="008A5C12"/>
    <w:rsid w:val="008A68F7"/>
    <w:rsid w:val="008B0BE3"/>
    <w:rsid w:val="008B47F3"/>
    <w:rsid w:val="008B5629"/>
    <w:rsid w:val="008B62CC"/>
    <w:rsid w:val="008C0CF2"/>
    <w:rsid w:val="008C2513"/>
    <w:rsid w:val="008C496A"/>
    <w:rsid w:val="008C62D1"/>
    <w:rsid w:val="008D1E97"/>
    <w:rsid w:val="008D2839"/>
    <w:rsid w:val="008D28DB"/>
    <w:rsid w:val="008D3031"/>
    <w:rsid w:val="008D7F9F"/>
    <w:rsid w:val="008E3A7C"/>
    <w:rsid w:val="008E5715"/>
    <w:rsid w:val="008E6872"/>
    <w:rsid w:val="008E774F"/>
    <w:rsid w:val="008E7A59"/>
    <w:rsid w:val="008F7754"/>
    <w:rsid w:val="008F7971"/>
    <w:rsid w:val="00903108"/>
    <w:rsid w:val="00903C1B"/>
    <w:rsid w:val="00903F4E"/>
    <w:rsid w:val="00906031"/>
    <w:rsid w:val="00910337"/>
    <w:rsid w:val="00911615"/>
    <w:rsid w:val="00911F4F"/>
    <w:rsid w:val="0091371E"/>
    <w:rsid w:val="00916726"/>
    <w:rsid w:val="00916CCE"/>
    <w:rsid w:val="009171A7"/>
    <w:rsid w:val="009245D9"/>
    <w:rsid w:val="0092484D"/>
    <w:rsid w:val="00930673"/>
    <w:rsid w:val="00932911"/>
    <w:rsid w:val="0093303E"/>
    <w:rsid w:val="00940423"/>
    <w:rsid w:val="00940A6E"/>
    <w:rsid w:val="00941CBB"/>
    <w:rsid w:val="009420C4"/>
    <w:rsid w:val="00942BC4"/>
    <w:rsid w:val="009452F9"/>
    <w:rsid w:val="00947B9D"/>
    <w:rsid w:val="009521C5"/>
    <w:rsid w:val="00953209"/>
    <w:rsid w:val="0095349E"/>
    <w:rsid w:val="00953547"/>
    <w:rsid w:val="00953572"/>
    <w:rsid w:val="009540EE"/>
    <w:rsid w:val="0095421C"/>
    <w:rsid w:val="00957962"/>
    <w:rsid w:val="009609D6"/>
    <w:rsid w:val="00963218"/>
    <w:rsid w:val="009639D9"/>
    <w:rsid w:val="00965212"/>
    <w:rsid w:val="00965538"/>
    <w:rsid w:val="009657D6"/>
    <w:rsid w:val="009661F1"/>
    <w:rsid w:val="00966F44"/>
    <w:rsid w:val="00970ADB"/>
    <w:rsid w:val="0097109A"/>
    <w:rsid w:val="009725C8"/>
    <w:rsid w:val="00973F81"/>
    <w:rsid w:val="0097424C"/>
    <w:rsid w:val="00976DBB"/>
    <w:rsid w:val="00977DED"/>
    <w:rsid w:val="00980383"/>
    <w:rsid w:val="00980732"/>
    <w:rsid w:val="0098086E"/>
    <w:rsid w:val="00983099"/>
    <w:rsid w:val="009838BC"/>
    <w:rsid w:val="00995438"/>
    <w:rsid w:val="009A3E04"/>
    <w:rsid w:val="009A451C"/>
    <w:rsid w:val="009B188F"/>
    <w:rsid w:val="009B61E7"/>
    <w:rsid w:val="009B7179"/>
    <w:rsid w:val="009B7526"/>
    <w:rsid w:val="009B7D8B"/>
    <w:rsid w:val="009B7E7B"/>
    <w:rsid w:val="009C1B01"/>
    <w:rsid w:val="009C1D02"/>
    <w:rsid w:val="009C41C3"/>
    <w:rsid w:val="009C5485"/>
    <w:rsid w:val="009C5714"/>
    <w:rsid w:val="009C7E62"/>
    <w:rsid w:val="009D056C"/>
    <w:rsid w:val="009D1152"/>
    <w:rsid w:val="009D43BA"/>
    <w:rsid w:val="009E33CB"/>
    <w:rsid w:val="009E3A40"/>
    <w:rsid w:val="009E58A9"/>
    <w:rsid w:val="009E6A0A"/>
    <w:rsid w:val="009F059E"/>
    <w:rsid w:val="009F3D8D"/>
    <w:rsid w:val="009F45FC"/>
    <w:rsid w:val="009F49EB"/>
    <w:rsid w:val="009F60CF"/>
    <w:rsid w:val="00A00B8C"/>
    <w:rsid w:val="00A01061"/>
    <w:rsid w:val="00A02674"/>
    <w:rsid w:val="00A03238"/>
    <w:rsid w:val="00A053F9"/>
    <w:rsid w:val="00A05F64"/>
    <w:rsid w:val="00A10236"/>
    <w:rsid w:val="00A110A6"/>
    <w:rsid w:val="00A11364"/>
    <w:rsid w:val="00A12138"/>
    <w:rsid w:val="00A150AB"/>
    <w:rsid w:val="00A17A59"/>
    <w:rsid w:val="00A2325C"/>
    <w:rsid w:val="00A237BD"/>
    <w:rsid w:val="00A26092"/>
    <w:rsid w:val="00A26B21"/>
    <w:rsid w:val="00A311CF"/>
    <w:rsid w:val="00A32CDB"/>
    <w:rsid w:val="00A36253"/>
    <w:rsid w:val="00A37445"/>
    <w:rsid w:val="00A37987"/>
    <w:rsid w:val="00A40CDA"/>
    <w:rsid w:val="00A433E2"/>
    <w:rsid w:val="00A44424"/>
    <w:rsid w:val="00A51862"/>
    <w:rsid w:val="00A52E2B"/>
    <w:rsid w:val="00A56CB0"/>
    <w:rsid w:val="00A61999"/>
    <w:rsid w:val="00A61DBD"/>
    <w:rsid w:val="00A6432C"/>
    <w:rsid w:val="00A7112C"/>
    <w:rsid w:val="00A74841"/>
    <w:rsid w:val="00A75130"/>
    <w:rsid w:val="00A75DEB"/>
    <w:rsid w:val="00A77297"/>
    <w:rsid w:val="00A77BC6"/>
    <w:rsid w:val="00A844A0"/>
    <w:rsid w:val="00A860DA"/>
    <w:rsid w:val="00A86D1A"/>
    <w:rsid w:val="00A9033E"/>
    <w:rsid w:val="00A933DB"/>
    <w:rsid w:val="00A9714B"/>
    <w:rsid w:val="00AA1CC7"/>
    <w:rsid w:val="00AA3FC1"/>
    <w:rsid w:val="00AA4793"/>
    <w:rsid w:val="00AA6E6F"/>
    <w:rsid w:val="00AB5C6E"/>
    <w:rsid w:val="00AB7305"/>
    <w:rsid w:val="00AB7B72"/>
    <w:rsid w:val="00AB7C47"/>
    <w:rsid w:val="00AC1759"/>
    <w:rsid w:val="00AC2250"/>
    <w:rsid w:val="00AC3E8B"/>
    <w:rsid w:val="00AD0807"/>
    <w:rsid w:val="00AD78E4"/>
    <w:rsid w:val="00AE0A8B"/>
    <w:rsid w:val="00AE24F9"/>
    <w:rsid w:val="00AE268F"/>
    <w:rsid w:val="00AF381E"/>
    <w:rsid w:val="00AF694B"/>
    <w:rsid w:val="00AF731D"/>
    <w:rsid w:val="00AF7331"/>
    <w:rsid w:val="00B00057"/>
    <w:rsid w:val="00B043CD"/>
    <w:rsid w:val="00B04571"/>
    <w:rsid w:val="00B06334"/>
    <w:rsid w:val="00B073C9"/>
    <w:rsid w:val="00B07A5E"/>
    <w:rsid w:val="00B07D0E"/>
    <w:rsid w:val="00B13CFE"/>
    <w:rsid w:val="00B158CD"/>
    <w:rsid w:val="00B20036"/>
    <w:rsid w:val="00B2085A"/>
    <w:rsid w:val="00B243BA"/>
    <w:rsid w:val="00B27F96"/>
    <w:rsid w:val="00B30FF9"/>
    <w:rsid w:val="00B31D0C"/>
    <w:rsid w:val="00B31E52"/>
    <w:rsid w:val="00B32622"/>
    <w:rsid w:val="00B33D6A"/>
    <w:rsid w:val="00B36FBD"/>
    <w:rsid w:val="00B4085A"/>
    <w:rsid w:val="00B438FF"/>
    <w:rsid w:val="00B44291"/>
    <w:rsid w:val="00B45026"/>
    <w:rsid w:val="00B50613"/>
    <w:rsid w:val="00B546CC"/>
    <w:rsid w:val="00B55D4A"/>
    <w:rsid w:val="00B55FF7"/>
    <w:rsid w:val="00B56D0B"/>
    <w:rsid w:val="00B63CD7"/>
    <w:rsid w:val="00B63E4B"/>
    <w:rsid w:val="00B64026"/>
    <w:rsid w:val="00B7077B"/>
    <w:rsid w:val="00B738C2"/>
    <w:rsid w:val="00B73D0E"/>
    <w:rsid w:val="00B7516F"/>
    <w:rsid w:val="00B7521E"/>
    <w:rsid w:val="00B8114F"/>
    <w:rsid w:val="00B85A48"/>
    <w:rsid w:val="00B87F9D"/>
    <w:rsid w:val="00B94226"/>
    <w:rsid w:val="00B94425"/>
    <w:rsid w:val="00BA1D64"/>
    <w:rsid w:val="00BB1F4D"/>
    <w:rsid w:val="00BB464B"/>
    <w:rsid w:val="00BB5C74"/>
    <w:rsid w:val="00BB7056"/>
    <w:rsid w:val="00BC1003"/>
    <w:rsid w:val="00BC274E"/>
    <w:rsid w:val="00BC47CF"/>
    <w:rsid w:val="00BC50B3"/>
    <w:rsid w:val="00BC59CA"/>
    <w:rsid w:val="00BC681F"/>
    <w:rsid w:val="00BC6925"/>
    <w:rsid w:val="00BC7AC0"/>
    <w:rsid w:val="00BD1CB6"/>
    <w:rsid w:val="00BD3092"/>
    <w:rsid w:val="00BE2A2D"/>
    <w:rsid w:val="00BE3127"/>
    <w:rsid w:val="00BE3A69"/>
    <w:rsid w:val="00BE3F06"/>
    <w:rsid w:val="00BE52A2"/>
    <w:rsid w:val="00BF04B3"/>
    <w:rsid w:val="00BF3998"/>
    <w:rsid w:val="00BF4758"/>
    <w:rsid w:val="00C0665F"/>
    <w:rsid w:val="00C10B7E"/>
    <w:rsid w:val="00C11126"/>
    <w:rsid w:val="00C111A5"/>
    <w:rsid w:val="00C1280C"/>
    <w:rsid w:val="00C15D28"/>
    <w:rsid w:val="00C15D3F"/>
    <w:rsid w:val="00C16A35"/>
    <w:rsid w:val="00C17AF9"/>
    <w:rsid w:val="00C22260"/>
    <w:rsid w:val="00C22D18"/>
    <w:rsid w:val="00C24A15"/>
    <w:rsid w:val="00C2570E"/>
    <w:rsid w:val="00C2697E"/>
    <w:rsid w:val="00C30271"/>
    <w:rsid w:val="00C32181"/>
    <w:rsid w:val="00C3469F"/>
    <w:rsid w:val="00C3539A"/>
    <w:rsid w:val="00C356D9"/>
    <w:rsid w:val="00C3657D"/>
    <w:rsid w:val="00C375C0"/>
    <w:rsid w:val="00C4001F"/>
    <w:rsid w:val="00C40C9E"/>
    <w:rsid w:val="00C43EA8"/>
    <w:rsid w:val="00C43F23"/>
    <w:rsid w:val="00C53D82"/>
    <w:rsid w:val="00C601C0"/>
    <w:rsid w:val="00C6169C"/>
    <w:rsid w:val="00C635DC"/>
    <w:rsid w:val="00C63DC0"/>
    <w:rsid w:val="00C64A70"/>
    <w:rsid w:val="00C64C40"/>
    <w:rsid w:val="00C65A00"/>
    <w:rsid w:val="00C66AED"/>
    <w:rsid w:val="00C66B21"/>
    <w:rsid w:val="00C70C9B"/>
    <w:rsid w:val="00C72EEA"/>
    <w:rsid w:val="00C73F16"/>
    <w:rsid w:val="00C74533"/>
    <w:rsid w:val="00C76F39"/>
    <w:rsid w:val="00C77879"/>
    <w:rsid w:val="00C83EFC"/>
    <w:rsid w:val="00C87969"/>
    <w:rsid w:val="00C87CE1"/>
    <w:rsid w:val="00C87EE7"/>
    <w:rsid w:val="00C91CE2"/>
    <w:rsid w:val="00C92558"/>
    <w:rsid w:val="00C9288C"/>
    <w:rsid w:val="00CA0474"/>
    <w:rsid w:val="00CA2DAF"/>
    <w:rsid w:val="00CA5EAF"/>
    <w:rsid w:val="00CA623D"/>
    <w:rsid w:val="00CB17FD"/>
    <w:rsid w:val="00CB1D1A"/>
    <w:rsid w:val="00CB4ED5"/>
    <w:rsid w:val="00CB68C4"/>
    <w:rsid w:val="00CB6D38"/>
    <w:rsid w:val="00CB706F"/>
    <w:rsid w:val="00CC2A52"/>
    <w:rsid w:val="00CC359C"/>
    <w:rsid w:val="00CC47CC"/>
    <w:rsid w:val="00CD1428"/>
    <w:rsid w:val="00CD1EC3"/>
    <w:rsid w:val="00CD3B35"/>
    <w:rsid w:val="00CD420C"/>
    <w:rsid w:val="00CE1159"/>
    <w:rsid w:val="00CE2BCF"/>
    <w:rsid w:val="00CE4A50"/>
    <w:rsid w:val="00CE613F"/>
    <w:rsid w:val="00CF17BA"/>
    <w:rsid w:val="00CF4519"/>
    <w:rsid w:val="00CF7636"/>
    <w:rsid w:val="00D023E3"/>
    <w:rsid w:val="00D02918"/>
    <w:rsid w:val="00D03268"/>
    <w:rsid w:val="00D0547A"/>
    <w:rsid w:val="00D059D7"/>
    <w:rsid w:val="00D07A86"/>
    <w:rsid w:val="00D11589"/>
    <w:rsid w:val="00D12CAF"/>
    <w:rsid w:val="00D13515"/>
    <w:rsid w:val="00D14E3E"/>
    <w:rsid w:val="00D27786"/>
    <w:rsid w:val="00D311E1"/>
    <w:rsid w:val="00D3258E"/>
    <w:rsid w:val="00D32904"/>
    <w:rsid w:val="00D36A26"/>
    <w:rsid w:val="00D40118"/>
    <w:rsid w:val="00D406CB"/>
    <w:rsid w:val="00D42007"/>
    <w:rsid w:val="00D44BF1"/>
    <w:rsid w:val="00D50167"/>
    <w:rsid w:val="00D5219A"/>
    <w:rsid w:val="00D529C3"/>
    <w:rsid w:val="00D551E7"/>
    <w:rsid w:val="00D60F6F"/>
    <w:rsid w:val="00D63888"/>
    <w:rsid w:val="00D662EF"/>
    <w:rsid w:val="00D66B47"/>
    <w:rsid w:val="00D707C8"/>
    <w:rsid w:val="00D7121F"/>
    <w:rsid w:val="00D742DC"/>
    <w:rsid w:val="00D74317"/>
    <w:rsid w:val="00D75215"/>
    <w:rsid w:val="00D75805"/>
    <w:rsid w:val="00D76B1D"/>
    <w:rsid w:val="00D830ED"/>
    <w:rsid w:val="00D83785"/>
    <w:rsid w:val="00D84722"/>
    <w:rsid w:val="00D87683"/>
    <w:rsid w:val="00D87BF7"/>
    <w:rsid w:val="00D92D5D"/>
    <w:rsid w:val="00D9494D"/>
    <w:rsid w:val="00DA04FD"/>
    <w:rsid w:val="00DA1639"/>
    <w:rsid w:val="00DA1ACF"/>
    <w:rsid w:val="00DA5BD6"/>
    <w:rsid w:val="00DA5E87"/>
    <w:rsid w:val="00DA6063"/>
    <w:rsid w:val="00DA74B0"/>
    <w:rsid w:val="00DB02C4"/>
    <w:rsid w:val="00DB23B3"/>
    <w:rsid w:val="00DB34C6"/>
    <w:rsid w:val="00DB4700"/>
    <w:rsid w:val="00DB5DD2"/>
    <w:rsid w:val="00DC523C"/>
    <w:rsid w:val="00DC7D3C"/>
    <w:rsid w:val="00DD0B01"/>
    <w:rsid w:val="00DD0D33"/>
    <w:rsid w:val="00DD522A"/>
    <w:rsid w:val="00DE06CC"/>
    <w:rsid w:val="00DE10AF"/>
    <w:rsid w:val="00DE1EA1"/>
    <w:rsid w:val="00DE23A6"/>
    <w:rsid w:val="00DF1BFF"/>
    <w:rsid w:val="00E006B8"/>
    <w:rsid w:val="00E12DC7"/>
    <w:rsid w:val="00E133E4"/>
    <w:rsid w:val="00E1373E"/>
    <w:rsid w:val="00E152BB"/>
    <w:rsid w:val="00E158BA"/>
    <w:rsid w:val="00E15F68"/>
    <w:rsid w:val="00E17971"/>
    <w:rsid w:val="00E17E74"/>
    <w:rsid w:val="00E20D04"/>
    <w:rsid w:val="00E2176A"/>
    <w:rsid w:val="00E21C38"/>
    <w:rsid w:val="00E22CE1"/>
    <w:rsid w:val="00E23E7B"/>
    <w:rsid w:val="00E249B5"/>
    <w:rsid w:val="00E26304"/>
    <w:rsid w:val="00E273FE"/>
    <w:rsid w:val="00E321FF"/>
    <w:rsid w:val="00E351D9"/>
    <w:rsid w:val="00E36BF3"/>
    <w:rsid w:val="00E4027D"/>
    <w:rsid w:val="00E420D9"/>
    <w:rsid w:val="00E4365C"/>
    <w:rsid w:val="00E54098"/>
    <w:rsid w:val="00E5595E"/>
    <w:rsid w:val="00E6080A"/>
    <w:rsid w:val="00E61011"/>
    <w:rsid w:val="00E62D15"/>
    <w:rsid w:val="00E6671C"/>
    <w:rsid w:val="00E667F5"/>
    <w:rsid w:val="00E700BF"/>
    <w:rsid w:val="00E720E9"/>
    <w:rsid w:val="00E72AB4"/>
    <w:rsid w:val="00E7305E"/>
    <w:rsid w:val="00E74055"/>
    <w:rsid w:val="00E77177"/>
    <w:rsid w:val="00E80B39"/>
    <w:rsid w:val="00E83966"/>
    <w:rsid w:val="00E87B4D"/>
    <w:rsid w:val="00E93756"/>
    <w:rsid w:val="00E93DB7"/>
    <w:rsid w:val="00E94A8B"/>
    <w:rsid w:val="00E95D72"/>
    <w:rsid w:val="00E96CF6"/>
    <w:rsid w:val="00E96E99"/>
    <w:rsid w:val="00EA19DA"/>
    <w:rsid w:val="00EA594D"/>
    <w:rsid w:val="00EA5C76"/>
    <w:rsid w:val="00EA7BE0"/>
    <w:rsid w:val="00EB0F80"/>
    <w:rsid w:val="00EB5759"/>
    <w:rsid w:val="00EC26B5"/>
    <w:rsid w:val="00EC660D"/>
    <w:rsid w:val="00EC6CB9"/>
    <w:rsid w:val="00EC74FC"/>
    <w:rsid w:val="00ED05E4"/>
    <w:rsid w:val="00ED2625"/>
    <w:rsid w:val="00EE02B1"/>
    <w:rsid w:val="00EE1CD1"/>
    <w:rsid w:val="00EE2B53"/>
    <w:rsid w:val="00EE2E3E"/>
    <w:rsid w:val="00EE767B"/>
    <w:rsid w:val="00EF171F"/>
    <w:rsid w:val="00EF27AE"/>
    <w:rsid w:val="00EF48BA"/>
    <w:rsid w:val="00EF52D3"/>
    <w:rsid w:val="00EF53C0"/>
    <w:rsid w:val="00EF5950"/>
    <w:rsid w:val="00EF6623"/>
    <w:rsid w:val="00EF6AA5"/>
    <w:rsid w:val="00F00DD4"/>
    <w:rsid w:val="00F02753"/>
    <w:rsid w:val="00F045F9"/>
    <w:rsid w:val="00F047CE"/>
    <w:rsid w:val="00F07156"/>
    <w:rsid w:val="00F072A0"/>
    <w:rsid w:val="00F11317"/>
    <w:rsid w:val="00F1147D"/>
    <w:rsid w:val="00F11E0F"/>
    <w:rsid w:val="00F16742"/>
    <w:rsid w:val="00F1680C"/>
    <w:rsid w:val="00F2109F"/>
    <w:rsid w:val="00F22180"/>
    <w:rsid w:val="00F25B82"/>
    <w:rsid w:val="00F25BB1"/>
    <w:rsid w:val="00F304C1"/>
    <w:rsid w:val="00F34DD5"/>
    <w:rsid w:val="00F356A8"/>
    <w:rsid w:val="00F458D9"/>
    <w:rsid w:val="00F45D8E"/>
    <w:rsid w:val="00F4654C"/>
    <w:rsid w:val="00F46CD3"/>
    <w:rsid w:val="00F565D6"/>
    <w:rsid w:val="00F566B9"/>
    <w:rsid w:val="00F5685A"/>
    <w:rsid w:val="00F630CE"/>
    <w:rsid w:val="00F64672"/>
    <w:rsid w:val="00F64BA1"/>
    <w:rsid w:val="00F674AF"/>
    <w:rsid w:val="00F679D7"/>
    <w:rsid w:val="00F71BA2"/>
    <w:rsid w:val="00F737F4"/>
    <w:rsid w:val="00F7591A"/>
    <w:rsid w:val="00F76747"/>
    <w:rsid w:val="00F8049B"/>
    <w:rsid w:val="00F8299B"/>
    <w:rsid w:val="00F918C3"/>
    <w:rsid w:val="00F92B1C"/>
    <w:rsid w:val="00F971E5"/>
    <w:rsid w:val="00FA37A7"/>
    <w:rsid w:val="00FA40BD"/>
    <w:rsid w:val="00FA56B9"/>
    <w:rsid w:val="00FA678F"/>
    <w:rsid w:val="00FA6A66"/>
    <w:rsid w:val="00FA7535"/>
    <w:rsid w:val="00FB15EB"/>
    <w:rsid w:val="00FB177C"/>
    <w:rsid w:val="00FB1D47"/>
    <w:rsid w:val="00FB6B7E"/>
    <w:rsid w:val="00FB70E0"/>
    <w:rsid w:val="00FC0D27"/>
    <w:rsid w:val="00FC5BCC"/>
    <w:rsid w:val="00FC79A4"/>
    <w:rsid w:val="00FC7B2B"/>
    <w:rsid w:val="00FD01D8"/>
    <w:rsid w:val="00FD0E4D"/>
    <w:rsid w:val="00FD29CB"/>
    <w:rsid w:val="00FD3E6B"/>
    <w:rsid w:val="00FE1832"/>
    <w:rsid w:val="00FE2345"/>
    <w:rsid w:val="00FE3A40"/>
    <w:rsid w:val="00FE6204"/>
    <w:rsid w:val="00FF0F8D"/>
    <w:rsid w:val="00FF0FE8"/>
    <w:rsid w:val="00FF1706"/>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39EABF"/>
  <w15:docId w15:val="{21B7AD50-20C6-47E3-B938-5ED47A91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6210298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mpleyparishcouncil.org/community-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 Id="rId14"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E810-75CD-430C-830B-82AACA3C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2881</Words>
  <Characters>15710</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5</cp:revision>
  <cp:lastPrinted>2019-02-05T16:58:00Z</cp:lastPrinted>
  <dcterms:created xsi:type="dcterms:W3CDTF">2021-05-10T16:12:00Z</dcterms:created>
  <dcterms:modified xsi:type="dcterms:W3CDTF">2021-10-10T18:04:00Z</dcterms:modified>
</cp:coreProperties>
</file>