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BD42FE" w14:textId="2563B535" w:rsidR="00510E82" w:rsidRDefault="00510E82" w:rsidP="004F7DD6">
      <w:bookmarkStart w:id="0" w:name="_GoBack"/>
      <w:bookmarkEnd w:id="0"/>
      <w:r>
        <w:rPr>
          <w:noProof/>
          <w:lang w:eastAsia="en-GB"/>
        </w:rPr>
        <w:drawing>
          <wp:inline distT="0" distB="0" distL="0" distR="0" wp14:anchorId="50B94743" wp14:editId="2806BBEA">
            <wp:extent cx="2150406" cy="2126512"/>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5">
                      <a:extLst>
                        <a:ext uri="{28A0092B-C50C-407E-A947-70E740481C1C}">
                          <a14:useLocalDpi xmlns:a14="http://schemas.microsoft.com/office/drawing/2010/main" val="0"/>
                        </a:ext>
                      </a:extLst>
                    </a:blip>
                    <a:srcRect l="34539" t="46532" r="52234" b="30202"/>
                    <a:stretch/>
                  </pic:blipFill>
                  <pic:spPr bwMode="auto">
                    <a:xfrm>
                      <a:off x="0" y="0"/>
                      <a:ext cx="2185488" cy="2161205"/>
                    </a:xfrm>
                    <a:prstGeom prst="rect">
                      <a:avLst/>
                    </a:prstGeom>
                    <a:ln>
                      <a:noFill/>
                    </a:ln>
                    <a:extLst>
                      <a:ext uri="{53640926-AAD7-44D8-BBD7-CCE9431645EC}">
                        <a14:shadowObscured xmlns:a14="http://schemas.microsoft.com/office/drawing/2010/main"/>
                      </a:ext>
                    </a:extLst>
                  </pic:spPr>
                </pic:pic>
              </a:graphicData>
            </a:graphic>
          </wp:inline>
        </w:drawing>
      </w:r>
      <w:r w:rsidR="004F7DD6">
        <w:rPr>
          <w:noProof/>
          <w:color w:val="4D4D4D"/>
          <w:lang w:eastAsia="en-GB"/>
        </w:rPr>
        <w:drawing>
          <wp:inline distT="0" distB="0" distL="0" distR="0" wp14:anchorId="3189C7B0" wp14:editId="119D06FE">
            <wp:extent cx="3495308" cy="1449993"/>
            <wp:effectExtent l="0" t="0" r="0" b="0"/>
            <wp:docPr id="8" name="Picture 8"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diagram&#10;&#10;Description automatically generated"/>
                    <pic:cNvPicPr/>
                  </pic:nvPicPr>
                  <pic:blipFill rotWithShape="1">
                    <a:blip r:embed="rId6" cstate="print">
                      <a:extLst>
                        <a:ext uri="{28A0092B-C50C-407E-A947-70E740481C1C}">
                          <a14:useLocalDpi xmlns:a14="http://schemas.microsoft.com/office/drawing/2010/main" val="0"/>
                        </a:ext>
                      </a:extLst>
                    </a:blip>
                    <a:srcRect r="7516" b="14286"/>
                    <a:stretch/>
                  </pic:blipFill>
                  <pic:spPr bwMode="auto">
                    <a:xfrm>
                      <a:off x="0" y="0"/>
                      <a:ext cx="3641851" cy="1510785"/>
                    </a:xfrm>
                    <a:prstGeom prst="rect">
                      <a:avLst/>
                    </a:prstGeom>
                    <a:ln>
                      <a:noFill/>
                    </a:ln>
                    <a:extLst>
                      <a:ext uri="{53640926-AAD7-44D8-BBD7-CCE9431645EC}">
                        <a14:shadowObscured xmlns:a14="http://schemas.microsoft.com/office/drawing/2010/main"/>
                      </a:ext>
                    </a:extLst>
                  </pic:spPr>
                </pic:pic>
              </a:graphicData>
            </a:graphic>
          </wp:inline>
        </w:drawing>
      </w:r>
    </w:p>
    <w:p w14:paraId="0067D1B1" w14:textId="29E4146C" w:rsidR="004F7DD6" w:rsidRDefault="004F7DD6" w:rsidP="004F7DD6"/>
    <w:p w14:paraId="58FC130D" w14:textId="13ED57CE" w:rsidR="004F7DD6" w:rsidRPr="004F7DD6" w:rsidRDefault="004F7DD6" w:rsidP="004F7DD6">
      <w:pPr>
        <w:rPr>
          <w:rFonts w:asciiTheme="majorHAnsi" w:hAnsiTheme="majorHAnsi" w:cstheme="majorHAnsi"/>
          <w:b/>
          <w:bCs/>
          <w:sz w:val="36"/>
          <w:szCs w:val="36"/>
        </w:rPr>
      </w:pPr>
      <w:r w:rsidRPr="004F7DD6">
        <w:rPr>
          <w:rFonts w:asciiTheme="majorHAnsi" w:hAnsiTheme="majorHAnsi" w:cstheme="majorHAnsi"/>
          <w:b/>
          <w:bCs/>
          <w:sz w:val="36"/>
          <w:szCs w:val="36"/>
        </w:rPr>
        <w:t>Kempley Parish Council – May 2022 Annual Parish Council Meeting</w:t>
      </w:r>
    </w:p>
    <w:p w14:paraId="4962CE77" w14:textId="77777777" w:rsidR="004F7DD6" w:rsidRDefault="004F7DD6" w:rsidP="004F7DD6">
      <w:pPr>
        <w:rPr>
          <w:rFonts w:asciiTheme="majorHAnsi" w:hAnsiTheme="majorHAnsi" w:cstheme="majorHAnsi"/>
          <w:b/>
          <w:bCs/>
        </w:rPr>
      </w:pPr>
    </w:p>
    <w:p w14:paraId="6281F604" w14:textId="6662D0C2" w:rsidR="00F66272" w:rsidRPr="00F66272" w:rsidRDefault="004F7DD6" w:rsidP="004F7DD6">
      <w:pPr>
        <w:rPr>
          <w:rFonts w:eastAsia="Calibri" w:cstheme="minorHAnsi"/>
          <w:b/>
          <w:bCs/>
          <w:color w:val="7030A0"/>
          <w:sz w:val="28"/>
        </w:rPr>
      </w:pPr>
      <w:r w:rsidRPr="00A234F3">
        <w:rPr>
          <w:rFonts w:eastAsia="Calibri" w:cstheme="minorHAnsi"/>
          <w:b/>
          <w:bCs/>
          <w:color w:val="7030A0"/>
          <w:sz w:val="28"/>
        </w:rPr>
        <w:t>Community Broadband Grant</w:t>
      </w:r>
      <w:r>
        <w:rPr>
          <w:rFonts w:eastAsia="Calibri" w:cstheme="minorHAnsi"/>
          <w:b/>
          <w:bCs/>
          <w:color w:val="7030A0"/>
          <w:sz w:val="28"/>
        </w:rPr>
        <w:t xml:space="preserve"> – Kempley Project</w:t>
      </w:r>
    </w:p>
    <w:p w14:paraId="0E60D1D3" w14:textId="77777777" w:rsidR="00F66272" w:rsidRDefault="004F7DD6" w:rsidP="004F7DD6">
      <w:pPr>
        <w:rPr>
          <w:rFonts w:asciiTheme="majorHAnsi" w:hAnsiTheme="majorHAnsi" w:cstheme="majorHAnsi"/>
          <w:b/>
          <w:bCs/>
        </w:rPr>
      </w:pPr>
      <w:r>
        <w:rPr>
          <w:rFonts w:asciiTheme="majorHAnsi" w:hAnsiTheme="majorHAnsi" w:cstheme="majorHAnsi"/>
          <w:b/>
          <w:bCs/>
        </w:rPr>
        <w:t xml:space="preserve">Fastershire and Gigaclear de-scoped the Parish of Kempley during Christmas 2021 from the current programme to deliver fibre to the premises within the parish leaving Kempley cut-off from </w:t>
      </w:r>
      <w:r w:rsidR="00F66272">
        <w:rPr>
          <w:rFonts w:asciiTheme="majorHAnsi" w:hAnsiTheme="majorHAnsi" w:cstheme="majorHAnsi"/>
          <w:b/>
          <w:bCs/>
        </w:rPr>
        <w:t xml:space="preserve">the new rural </w:t>
      </w:r>
      <w:r>
        <w:rPr>
          <w:rFonts w:asciiTheme="majorHAnsi" w:hAnsiTheme="majorHAnsi" w:cstheme="majorHAnsi"/>
          <w:b/>
          <w:bCs/>
        </w:rPr>
        <w:t>superfast broadband</w:t>
      </w:r>
      <w:r w:rsidR="00F66272">
        <w:rPr>
          <w:rFonts w:asciiTheme="majorHAnsi" w:hAnsiTheme="majorHAnsi" w:cstheme="majorHAnsi"/>
          <w:b/>
          <w:bCs/>
        </w:rPr>
        <w:t>.  This decision was taken by Fastershire for cost cutting reasons with no consultation with the Parish.</w:t>
      </w:r>
    </w:p>
    <w:p w14:paraId="4485A5AF" w14:textId="77777777" w:rsidR="00F66272" w:rsidRDefault="00F66272" w:rsidP="004F7DD6">
      <w:pPr>
        <w:rPr>
          <w:rFonts w:asciiTheme="majorHAnsi" w:hAnsiTheme="majorHAnsi" w:cstheme="majorHAnsi"/>
          <w:b/>
          <w:bCs/>
        </w:rPr>
      </w:pPr>
    </w:p>
    <w:p w14:paraId="55EEB2ED" w14:textId="2E36E34F" w:rsidR="00F66272" w:rsidRDefault="00F66272" w:rsidP="004F7DD6">
      <w:pPr>
        <w:rPr>
          <w:rFonts w:asciiTheme="majorHAnsi" w:hAnsiTheme="majorHAnsi" w:cstheme="majorHAnsi"/>
          <w:b/>
          <w:bCs/>
        </w:rPr>
      </w:pPr>
      <w:r>
        <w:rPr>
          <w:rFonts w:asciiTheme="majorHAnsi" w:hAnsiTheme="majorHAnsi" w:cstheme="majorHAnsi"/>
          <w:b/>
          <w:bCs/>
        </w:rPr>
        <w:t xml:space="preserve">Following further consultations with Fastershires we have now concluded discussions about a new Community Broadband Grant  - the Kempley Project, that has the potential to rectify the earlier decisions and achieve our goal of fibre to the premises for every property within the parish of Kempley.  The proposed boundary of the Kempley Project will </w:t>
      </w:r>
      <w:r w:rsidR="004353BB">
        <w:rPr>
          <w:rFonts w:asciiTheme="majorHAnsi" w:hAnsiTheme="majorHAnsi" w:cstheme="majorHAnsi"/>
          <w:b/>
          <w:bCs/>
        </w:rPr>
        <w:t xml:space="preserve">also </w:t>
      </w:r>
      <w:r>
        <w:rPr>
          <w:rFonts w:asciiTheme="majorHAnsi" w:hAnsiTheme="majorHAnsi" w:cstheme="majorHAnsi"/>
          <w:b/>
          <w:bCs/>
        </w:rPr>
        <w:t>include outlying properties close to Kempley as follows:</w:t>
      </w:r>
    </w:p>
    <w:p w14:paraId="1949B0DC" w14:textId="3B129D92" w:rsidR="00E92B94" w:rsidRDefault="00E92B94" w:rsidP="004F7DD6">
      <w:pPr>
        <w:rPr>
          <w:rFonts w:asciiTheme="majorHAnsi" w:hAnsiTheme="majorHAnsi" w:cstheme="majorHAnsi"/>
          <w:b/>
          <w:bCs/>
        </w:rPr>
      </w:pPr>
    </w:p>
    <w:p w14:paraId="5433C5FA" w14:textId="64BC72F0" w:rsidR="00E92B94" w:rsidRDefault="00E92B94" w:rsidP="00E92B94">
      <w:pPr>
        <w:pStyle w:val="ListParagraph"/>
        <w:numPr>
          <w:ilvl w:val="0"/>
          <w:numId w:val="1"/>
        </w:numPr>
        <w:rPr>
          <w:rFonts w:asciiTheme="majorHAnsi" w:hAnsiTheme="majorHAnsi" w:cstheme="majorHAnsi"/>
          <w:b/>
          <w:bCs/>
        </w:rPr>
      </w:pPr>
      <w:r>
        <w:rPr>
          <w:rFonts w:asciiTheme="majorHAnsi" w:hAnsiTheme="majorHAnsi" w:cstheme="majorHAnsi"/>
          <w:b/>
          <w:bCs/>
        </w:rPr>
        <w:t>the Dymock road as far as and including the Old Rock Farm in the parish of Dymock;</w:t>
      </w:r>
    </w:p>
    <w:p w14:paraId="560156A8" w14:textId="6EC107E7" w:rsidR="00E92B94" w:rsidRDefault="00E92B94" w:rsidP="00E92B94">
      <w:pPr>
        <w:pStyle w:val="ListParagraph"/>
        <w:numPr>
          <w:ilvl w:val="0"/>
          <w:numId w:val="1"/>
        </w:numPr>
        <w:rPr>
          <w:rFonts w:asciiTheme="majorHAnsi" w:hAnsiTheme="majorHAnsi" w:cstheme="majorHAnsi"/>
          <w:b/>
          <w:bCs/>
        </w:rPr>
      </w:pPr>
      <w:r>
        <w:rPr>
          <w:rFonts w:asciiTheme="majorHAnsi" w:hAnsiTheme="majorHAnsi" w:cstheme="majorHAnsi"/>
          <w:b/>
          <w:bCs/>
        </w:rPr>
        <w:t>the B4024 as far as Hill Grove and all adjoining properties</w:t>
      </w:r>
      <w:r w:rsidR="00C1678A">
        <w:rPr>
          <w:rFonts w:asciiTheme="majorHAnsi" w:hAnsiTheme="majorHAnsi" w:cstheme="majorHAnsi"/>
          <w:b/>
          <w:bCs/>
        </w:rPr>
        <w:t xml:space="preserve"> in the parish of Dymock</w:t>
      </w:r>
      <w:r>
        <w:rPr>
          <w:rFonts w:asciiTheme="majorHAnsi" w:hAnsiTheme="majorHAnsi" w:cstheme="majorHAnsi"/>
          <w:b/>
          <w:bCs/>
        </w:rPr>
        <w:t>;</w:t>
      </w:r>
    </w:p>
    <w:p w14:paraId="04555229" w14:textId="7E591689" w:rsidR="00E92B94" w:rsidRDefault="00E92B94" w:rsidP="00E92B94">
      <w:pPr>
        <w:pStyle w:val="ListParagraph"/>
        <w:numPr>
          <w:ilvl w:val="0"/>
          <w:numId w:val="1"/>
        </w:numPr>
        <w:rPr>
          <w:rFonts w:asciiTheme="majorHAnsi" w:hAnsiTheme="majorHAnsi" w:cstheme="majorHAnsi"/>
          <w:b/>
          <w:bCs/>
        </w:rPr>
      </w:pPr>
      <w:r>
        <w:rPr>
          <w:rFonts w:asciiTheme="majorHAnsi" w:hAnsiTheme="majorHAnsi" w:cstheme="majorHAnsi"/>
          <w:b/>
          <w:bCs/>
        </w:rPr>
        <w:t xml:space="preserve">the </w:t>
      </w:r>
      <w:r w:rsidR="00304351">
        <w:rPr>
          <w:rFonts w:asciiTheme="majorHAnsi" w:hAnsiTheme="majorHAnsi" w:cstheme="majorHAnsi"/>
          <w:b/>
          <w:bCs/>
        </w:rPr>
        <w:t>C class road from Kempley as far as Daubies Farm and adjoining proper</w:t>
      </w:r>
      <w:r w:rsidR="00C1678A">
        <w:rPr>
          <w:rFonts w:asciiTheme="majorHAnsi" w:hAnsiTheme="majorHAnsi" w:cstheme="majorHAnsi"/>
          <w:b/>
          <w:bCs/>
        </w:rPr>
        <w:t>t</w:t>
      </w:r>
      <w:r w:rsidR="00304351">
        <w:rPr>
          <w:rFonts w:asciiTheme="majorHAnsi" w:hAnsiTheme="majorHAnsi" w:cstheme="majorHAnsi"/>
          <w:b/>
          <w:bCs/>
        </w:rPr>
        <w:t>ies;</w:t>
      </w:r>
    </w:p>
    <w:p w14:paraId="395A8F9D" w14:textId="24E2F6B6" w:rsidR="00304351" w:rsidRDefault="00304351" w:rsidP="00E92B94">
      <w:pPr>
        <w:pStyle w:val="ListParagraph"/>
        <w:numPr>
          <w:ilvl w:val="0"/>
          <w:numId w:val="1"/>
        </w:numPr>
        <w:rPr>
          <w:rFonts w:asciiTheme="majorHAnsi" w:hAnsiTheme="majorHAnsi" w:cstheme="majorHAnsi"/>
          <w:b/>
          <w:bCs/>
        </w:rPr>
      </w:pPr>
      <w:r>
        <w:rPr>
          <w:rFonts w:asciiTheme="majorHAnsi" w:hAnsiTheme="majorHAnsi" w:cstheme="majorHAnsi"/>
          <w:b/>
          <w:bCs/>
        </w:rPr>
        <w:t>the C class road from Kempley as far as Castle Farm and Upton Court;</w:t>
      </w:r>
    </w:p>
    <w:p w14:paraId="321F69F4" w14:textId="2020B18C" w:rsidR="00304351" w:rsidRDefault="00304351" w:rsidP="00E92B94">
      <w:pPr>
        <w:pStyle w:val="ListParagraph"/>
        <w:numPr>
          <w:ilvl w:val="0"/>
          <w:numId w:val="1"/>
        </w:numPr>
        <w:rPr>
          <w:rFonts w:asciiTheme="majorHAnsi" w:hAnsiTheme="majorHAnsi" w:cstheme="majorHAnsi"/>
          <w:b/>
          <w:bCs/>
        </w:rPr>
      </w:pPr>
      <w:r>
        <w:rPr>
          <w:rFonts w:asciiTheme="majorHAnsi" w:hAnsiTheme="majorHAnsi" w:cstheme="majorHAnsi"/>
          <w:b/>
          <w:bCs/>
        </w:rPr>
        <w:t>the C class road from Kempley to Much Marcle as far as Awnells Farm and adjoining properties;</w:t>
      </w:r>
    </w:p>
    <w:p w14:paraId="21481184" w14:textId="3AC27C15" w:rsidR="00304351" w:rsidRPr="00E92B94" w:rsidRDefault="004353BB" w:rsidP="00E92B94">
      <w:pPr>
        <w:pStyle w:val="ListParagraph"/>
        <w:numPr>
          <w:ilvl w:val="0"/>
          <w:numId w:val="1"/>
        </w:numPr>
        <w:rPr>
          <w:rFonts w:asciiTheme="majorHAnsi" w:hAnsiTheme="majorHAnsi" w:cstheme="majorHAnsi"/>
          <w:b/>
          <w:bCs/>
        </w:rPr>
      </w:pPr>
      <w:r>
        <w:rPr>
          <w:rFonts w:asciiTheme="majorHAnsi" w:hAnsiTheme="majorHAnsi" w:cstheme="majorHAnsi"/>
          <w:b/>
          <w:bCs/>
        </w:rPr>
        <w:t>parts of the Parishes of Yatton, Upton Bishop and Much Marcle as far west as Yatton Wood and including Welsh Court, Deans Place, Perrystone Hill, Lynne Down, Bodenham Bank and Bickerton Court.</w:t>
      </w:r>
    </w:p>
    <w:p w14:paraId="2AF10204" w14:textId="3D9E2F1B" w:rsidR="00F66272" w:rsidRDefault="00C1678A" w:rsidP="004F7DD6">
      <w:pPr>
        <w:rPr>
          <w:rFonts w:asciiTheme="majorHAnsi" w:hAnsiTheme="majorHAnsi" w:cstheme="majorHAnsi"/>
          <w:b/>
          <w:bCs/>
        </w:rPr>
      </w:pPr>
      <w:r>
        <w:rPr>
          <w:rFonts w:asciiTheme="majorHAnsi" w:hAnsiTheme="majorHAnsi" w:cstheme="majorHAnsi"/>
          <w:b/>
          <w:bCs/>
        </w:rPr>
        <w:t>A map of all the properties currently included is attached</w:t>
      </w:r>
      <w:r w:rsidR="00084E40">
        <w:rPr>
          <w:rFonts w:asciiTheme="majorHAnsi" w:hAnsiTheme="majorHAnsi" w:cstheme="majorHAnsi"/>
          <w:b/>
          <w:bCs/>
        </w:rPr>
        <w:t xml:space="preserve"> </w:t>
      </w:r>
      <w:r w:rsidR="005D5CF6">
        <w:rPr>
          <w:rFonts w:asciiTheme="majorHAnsi" w:hAnsiTheme="majorHAnsi" w:cstheme="majorHAnsi"/>
          <w:b/>
          <w:bCs/>
        </w:rPr>
        <w:t>in</w:t>
      </w:r>
      <w:r w:rsidR="00084E40">
        <w:rPr>
          <w:rFonts w:asciiTheme="majorHAnsi" w:hAnsiTheme="majorHAnsi" w:cstheme="majorHAnsi"/>
          <w:b/>
          <w:bCs/>
        </w:rPr>
        <w:t xml:space="preserve"> Appendix 1.</w:t>
      </w:r>
    </w:p>
    <w:p w14:paraId="440662A5" w14:textId="229C455B" w:rsidR="00BA2065" w:rsidRDefault="00BA2065" w:rsidP="004F7DD6">
      <w:pPr>
        <w:rPr>
          <w:rFonts w:asciiTheme="majorHAnsi" w:hAnsiTheme="majorHAnsi" w:cstheme="majorHAnsi"/>
          <w:b/>
          <w:bCs/>
        </w:rPr>
      </w:pPr>
    </w:p>
    <w:p w14:paraId="33BA3BB0" w14:textId="77EF9351" w:rsidR="00084E40" w:rsidRDefault="00084E40" w:rsidP="004F7DD6">
      <w:pPr>
        <w:rPr>
          <w:rFonts w:asciiTheme="majorHAnsi" w:hAnsiTheme="majorHAnsi" w:cstheme="majorHAnsi"/>
          <w:b/>
          <w:bCs/>
        </w:rPr>
      </w:pPr>
      <w:r>
        <w:rPr>
          <w:rFonts w:eastAsia="Calibri" w:cstheme="minorHAnsi"/>
          <w:b/>
          <w:bCs/>
          <w:color w:val="7030A0"/>
          <w:sz w:val="28"/>
        </w:rPr>
        <w:t xml:space="preserve">Details of the Scheme </w:t>
      </w:r>
      <w:r w:rsidRPr="00A234F3">
        <w:rPr>
          <w:rFonts w:eastAsia="Calibri" w:cstheme="minorHAnsi"/>
          <w:b/>
          <w:bCs/>
          <w:color w:val="7030A0"/>
          <w:sz w:val="28"/>
        </w:rPr>
        <w:t>Community</w:t>
      </w:r>
      <w:r w:rsidRPr="00084E40">
        <w:rPr>
          <w:rFonts w:asciiTheme="majorHAnsi" w:hAnsiTheme="majorHAnsi" w:cstheme="majorHAnsi"/>
          <w:b/>
          <w:bCs/>
        </w:rPr>
        <w:t xml:space="preserve"> </w:t>
      </w:r>
    </w:p>
    <w:p w14:paraId="66A85A01" w14:textId="417124A6" w:rsidR="00084E40" w:rsidRDefault="00084E40" w:rsidP="00084E40">
      <w:pPr>
        <w:rPr>
          <w:rFonts w:eastAsia="Calibri" w:cstheme="minorHAnsi"/>
          <w:bCs/>
        </w:rPr>
      </w:pPr>
      <w:r w:rsidRPr="00A234F3">
        <w:rPr>
          <w:rFonts w:eastAsia="Calibri" w:cstheme="minorHAnsi"/>
          <w:bCs/>
        </w:rPr>
        <w:t xml:space="preserve">The purpose </w:t>
      </w:r>
      <w:r>
        <w:rPr>
          <w:rFonts w:eastAsia="Calibri" w:cstheme="minorHAnsi"/>
          <w:bCs/>
        </w:rPr>
        <w:t xml:space="preserve">of the grant is to seek a solution for properties without </w:t>
      </w:r>
      <w:r w:rsidRPr="00A234F3">
        <w:rPr>
          <w:rFonts w:eastAsia="Calibri" w:cstheme="minorHAnsi"/>
          <w:bCs/>
        </w:rPr>
        <w:t>access to</w:t>
      </w:r>
      <w:r>
        <w:rPr>
          <w:rFonts w:eastAsia="Calibri" w:cstheme="minorHAnsi"/>
          <w:bCs/>
        </w:rPr>
        <w:t xml:space="preserve"> a</w:t>
      </w:r>
      <w:r w:rsidRPr="00A234F3">
        <w:rPr>
          <w:rFonts w:eastAsia="Calibri" w:cstheme="minorHAnsi"/>
          <w:bCs/>
        </w:rPr>
        <w:t xml:space="preserve"> superfa</w:t>
      </w:r>
      <w:r>
        <w:rPr>
          <w:rFonts w:eastAsia="Calibri" w:cstheme="minorHAnsi"/>
          <w:bCs/>
        </w:rPr>
        <w:t xml:space="preserve">st connection (30mbps or above). The </w:t>
      </w:r>
      <w:r w:rsidRPr="00A234F3">
        <w:rPr>
          <w:rFonts w:eastAsia="Calibri" w:cstheme="minorHAnsi"/>
          <w:bCs/>
        </w:rPr>
        <w:t xml:space="preserve">scheme </w:t>
      </w:r>
      <w:r>
        <w:rPr>
          <w:rFonts w:eastAsia="Calibri" w:cstheme="minorHAnsi"/>
          <w:bCs/>
        </w:rPr>
        <w:t xml:space="preserve">seeks to </w:t>
      </w:r>
      <w:r w:rsidRPr="00A234F3">
        <w:rPr>
          <w:rFonts w:eastAsia="Calibri" w:cstheme="minorHAnsi"/>
          <w:bCs/>
        </w:rPr>
        <w:t xml:space="preserve">invest in networks that are capable of providing access to </w:t>
      </w:r>
      <w:r>
        <w:rPr>
          <w:rFonts w:eastAsia="Calibri" w:cstheme="minorHAnsi"/>
          <w:bCs/>
        </w:rPr>
        <w:t xml:space="preserve">gigabit connections (1,000mbps), </w:t>
      </w:r>
      <w:r w:rsidRPr="00A234F3">
        <w:rPr>
          <w:rFonts w:eastAsia="Calibri" w:cstheme="minorHAnsi"/>
          <w:bCs/>
        </w:rPr>
        <w:t>Fibre to the Property.</w:t>
      </w:r>
      <w:r>
        <w:rPr>
          <w:rFonts w:eastAsia="Calibri" w:cstheme="minorHAnsi"/>
          <w:bCs/>
        </w:rPr>
        <w:t xml:space="preserve">  T</w:t>
      </w:r>
      <w:r w:rsidRPr="00A234F3">
        <w:rPr>
          <w:rFonts w:eastAsia="Calibri" w:cstheme="minorHAnsi"/>
          <w:bCs/>
        </w:rPr>
        <w:t>he solution may mean using a new supplier or different technology to reach a deeply rural community, or to extend an existing network further to reach outlying properties that were too expensive to connect in previously. </w:t>
      </w:r>
    </w:p>
    <w:p w14:paraId="2C97C574" w14:textId="557EC21D" w:rsidR="00084E40" w:rsidRDefault="00084E40" w:rsidP="00084E40">
      <w:pPr>
        <w:rPr>
          <w:rFonts w:eastAsia="Calibri" w:cstheme="minorHAnsi"/>
          <w:bCs/>
        </w:rPr>
      </w:pPr>
    </w:p>
    <w:p w14:paraId="5518A82F" w14:textId="77777777" w:rsidR="00084E40" w:rsidRPr="00A234F3" w:rsidRDefault="00084E40" w:rsidP="00084E40">
      <w:pPr>
        <w:rPr>
          <w:rFonts w:cstheme="minorHAnsi"/>
          <w:b/>
          <w:color w:val="7030A0"/>
          <w:sz w:val="28"/>
          <w:szCs w:val="28"/>
        </w:rPr>
      </w:pPr>
      <w:r w:rsidRPr="00A234F3">
        <w:rPr>
          <w:rFonts w:cstheme="minorHAnsi"/>
          <w:b/>
          <w:color w:val="7030A0"/>
          <w:sz w:val="28"/>
          <w:szCs w:val="28"/>
        </w:rPr>
        <w:t xml:space="preserve">How does the grant scheme work? </w:t>
      </w:r>
    </w:p>
    <w:p w14:paraId="69AC8F3B" w14:textId="2E1F5E65" w:rsidR="009462AD" w:rsidRPr="00A234F3" w:rsidRDefault="00084E40" w:rsidP="00084E40">
      <w:pPr>
        <w:rPr>
          <w:rFonts w:cstheme="minorHAnsi"/>
        </w:rPr>
      </w:pPr>
      <w:r w:rsidRPr="00A234F3">
        <w:rPr>
          <w:rFonts w:cstheme="minorHAnsi"/>
        </w:rPr>
        <w:t xml:space="preserve">  </w:t>
      </w:r>
      <w:r>
        <w:rPr>
          <w:rFonts w:cstheme="minorHAnsi"/>
        </w:rPr>
        <w:t>Fastershire have confirmed that the scheme wil</w:t>
      </w:r>
      <w:r w:rsidR="009462AD">
        <w:rPr>
          <w:rFonts w:cstheme="minorHAnsi"/>
        </w:rPr>
        <w:t>l operate as follows:</w:t>
      </w:r>
    </w:p>
    <w:p w14:paraId="45AD9040" w14:textId="77777777" w:rsidR="00084E40" w:rsidRPr="00A234F3" w:rsidRDefault="00084E40" w:rsidP="00084E40">
      <w:pPr>
        <w:pStyle w:val="ListParagraph"/>
        <w:numPr>
          <w:ilvl w:val="0"/>
          <w:numId w:val="2"/>
        </w:numPr>
        <w:rPr>
          <w:rFonts w:cstheme="minorHAnsi"/>
        </w:rPr>
      </w:pPr>
      <w:r w:rsidRPr="00A234F3">
        <w:rPr>
          <w:rFonts w:cstheme="minorHAnsi"/>
        </w:rPr>
        <w:t xml:space="preserve">Step 1: Individual residents and businesses will submit their Expression of Interest </w:t>
      </w:r>
    </w:p>
    <w:p w14:paraId="2E83D15A" w14:textId="77777777" w:rsidR="00084E40" w:rsidRPr="00A234F3" w:rsidRDefault="00084E40" w:rsidP="00084E40">
      <w:pPr>
        <w:pStyle w:val="ListParagraph"/>
        <w:numPr>
          <w:ilvl w:val="0"/>
          <w:numId w:val="2"/>
        </w:numPr>
        <w:rPr>
          <w:rFonts w:cstheme="minorHAnsi"/>
        </w:rPr>
      </w:pPr>
      <w:r w:rsidRPr="00A234F3">
        <w:rPr>
          <w:rFonts w:cstheme="minorHAnsi"/>
        </w:rPr>
        <w:t>Step 2: When there is sufficient interest from an area, Fastershire will bring these requests together to form a ‘community’ project</w:t>
      </w:r>
    </w:p>
    <w:p w14:paraId="120324F7" w14:textId="77777777" w:rsidR="00084E40" w:rsidRPr="00A234F3" w:rsidRDefault="00084E40" w:rsidP="00084E40">
      <w:pPr>
        <w:pStyle w:val="ListParagraph"/>
        <w:numPr>
          <w:ilvl w:val="0"/>
          <w:numId w:val="2"/>
        </w:numPr>
        <w:rPr>
          <w:rFonts w:cstheme="minorHAnsi"/>
        </w:rPr>
      </w:pPr>
      <w:r w:rsidRPr="00A234F3">
        <w:rPr>
          <w:rFonts w:cstheme="minorHAnsi"/>
        </w:rPr>
        <w:lastRenderedPageBreak/>
        <w:t xml:space="preserve">Step 3: Fastershire will support the ‘community’ to develop the formal ‘Request for Quotation’ (RFQ) which will be published on the grant’s online procurement portal </w:t>
      </w:r>
    </w:p>
    <w:p w14:paraId="1DADE535" w14:textId="78820190" w:rsidR="00084E40" w:rsidRPr="00A234F3" w:rsidRDefault="00084E40" w:rsidP="00084E40">
      <w:pPr>
        <w:pStyle w:val="ListParagraph"/>
        <w:numPr>
          <w:ilvl w:val="0"/>
          <w:numId w:val="2"/>
        </w:numPr>
        <w:rPr>
          <w:rFonts w:cstheme="minorHAnsi"/>
        </w:rPr>
      </w:pPr>
      <w:r w:rsidRPr="00A234F3">
        <w:rPr>
          <w:rFonts w:cstheme="minorHAnsi"/>
        </w:rPr>
        <w:t>Step 3: A range of potential broadband network suppliers will then have 28</w:t>
      </w:r>
      <w:r w:rsidR="005D5CF6">
        <w:rPr>
          <w:rFonts w:cstheme="minorHAnsi"/>
        </w:rPr>
        <w:t xml:space="preserve"> </w:t>
      </w:r>
      <w:r w:rsidRPr="00A234F3">
        <w:rPr>
          <w:rFonts w:cstheme="minorHAnsi"/>
        </w:rPr>
        <w:t xml:space="preserve">days to view the RFQ  and submit bids for the contract </w:t>
      </w:r>
    </w:p>
    <w:p w14:paraId="333EF50D" w14:textId="77777777" w:rsidR="00084E40" w:rsidRPr="00A234F3" w:rsidRDefault="00084E40" w:rsidP="00084E40">
      <w:pPr>
        <w:pStyle w:val="ListParagraph"/>
        <w:numPr>
          <w:ilvl w:val="0"/>
          <w:numId w:val="2"/>
        </w:numPr>
        <w:rPr>
          <w:rFonts w:cstheme="minorHAnsi"/>
        </w:rPr>
      </w:pPr>
      <w:r w:rsidRPr="00A234F3">
        <w:rPr>
          <w:rFonts w:cstheme="minorHAnsi"/>
        </w:rPr>
        <w:t xml:space="preserve">Step 4: Fastershire will evaluate the received quotes and will make a formal recommendation to the community </w:t>
      </w:r>
    </w:p>
    <w:p w14:paraId="5CC6F165" w14:textId="77777777" w:rsidR="00084E40" w:rsidRDefault="00084E40" w:rsidP="00084E40">
      <w:pPr>
        <w:pStyle w:val="ListParagraph"/>
        <w:numPr>
          <w:ilvl w:val="0"/>
          <w:numId w:val="2"/>
        </w:numPr>
        <w:rPr>
          <w:rFonts w:cstheme="minorHAnsi"/>
        </w:rPr>
      </w:pPr>
      <w:r w:rsidRPr="00A234F3">
        <w:rPr>
          <w:rFonts w:cstheme="minorHAnsi"/>
        </w:rPr>
        <w:t>Step 5: The contract will be specific to that community and will be awarded by the community to the chosen supplier</w:t>
      </w:r>
    </w:p>
    <w:p w14:paraId="594212BF" w14:textId="3E611996" w:rsidR="009F2CB9" w:rsidRPr="005D5CF6" w:rsidRDefault="00084E40" w:rsidP="009F2CB9">
      <w:pPr>
        <w:pStyle w:val="ListParagraph"/>
        <w:numPr>
          <w:ilvl w:val="0"/>
          <w:numId w:val="2"/>
        </w:numPr>
        <w:rPr>
          <w:rFonts w:cstheme="minorHAnsi"/>
        </w:rPr>
      </w:pPr>
      <w:r w:rsidRPr="00084E40">
        <w:rPr>
          <w:rFonts w:cstheme="minorHAnsi"/>
        </w:rPr>
        <w:t>Stage 6: When the network is built, Fastershire will release payment to the supplier when community members confirm the network has been delivered and they are able to place their broadband order</w:t>
      </w:r>
      <w:r w:rsidR="009F2CB9">
        <w:rPr>
          <w:rFonts w:cstheme="minorHAnsi"/>
        </w:rPr>
        <w:t>.</w:t>
      </w:r>
    </w:p>
    <w:p w14:paraId="2B5A148D" w14:textId="69F4B29D" w:rsidR="003C5A10" w:rsidRDefault="004273BA" w:rsidP="006254C5">
      <w:pPr>
        <w:spacing w:before="100" w:beforeAutospacing="1" w:after="100" w:afterAutospacing="1"/>
        <w:contextualSpacing/>
        <w:rPr>
          <w:rFonts w:cstheme="minorHAnsi"/>
          <w:b/>
          <w:color w:val="7030A0"/>
          <w:sz w:val="28"/>
          <w:szCs w:val="28"/>
        </w:rPr>
      </w:pPr>
      <w:r>
        <w:rPr>
          <w:rFonts w:eastAsia="Calibri" w:cstheme="minorHAnsi"/>
          <w:b/>
          <w:bCs/>
          <w:color w:val="7030A0"/>
          <w:sz w:val="28"/>
        </w:rPr>
        <w:t>A few things worth knowing</w:t>
      </w:r>
    </w:p>
    <w:p w14:paraId="5EFA3C52" w14:textId="11A61401" w:rsidR="009F2CB9" w:rsidRPr="00CA678F" w:rsidRDefault="009F2CB9" w:rsidP="006254C5">
      <w:pPr>
        <w:spacing w:before="100" w:beforeAutospacing="1" w:after="100" w:afterAutospacing="1"/>
        <w:contextualSpacing/>
        <w:rPr>
          <w:rFonts w:cstheme="minorHAnsi"/>
        </w:rPr>
      </w:pPr>
      <w:r>
        <w:rPr>
          <w:rFonts w:cstheme="minorHAnsi"/>
        </w:rPr>
        <w:t xml:space="preserve">Properties with </w:t>
      </w:r>
      <w:r w:rsidRPr="00CA678F">
        <w:rPr>
          <w:rFonts w:cstheme="minorHAnsi"/>
        </w:rPr>
        <w:t>a 4G solution, are still able to sign up for the Grant.</w:t>
      </w:r>
      <w:r>
        <w:rPr>
          <w:rFonts w:cstheme="minorHAnsi"/>
        </w:rPr>
        <w:t xml:space="preserve"> </w:t>
      </w:r>
    </w:p>
    <w:p w14:paraId="40E8FA1E" w14:textId="1C4ED04B" w:rsidR="009F2CB9" w:rsidRPr="00CA678F" w:rsidRDefault="009F2CB9" w:rsidP="006254C5">
      <w:pPr>
        <w:spacing w:before="100" w:beforeAutospacing="1" w:after="100" w:afterAutospacing="1"/>
        <w:contextualSpacing/>
        <w:rPr>
          <w:rFonts w:cstheme="minorHAnsi"/>
        </w:rPr>
      </w:pPr>
      <w:r>
        <w:rPr>
          <w:rFonts w:cstheme="minorHAnsi"/>
        </w:rPr>
        <w:t xml:space="preserve">No one is </w:t>
      </w:r>
      <w:r w:rsidRPr="00CA678F">
        <w:rPr>
          <w:rFonts w:cstheme="minorHAnsi"/>
        </w:rPr>
        <w:t>ask</w:t>
      </w:r>
      <w:r>
        <w:rPr>
          <w:rFonts w:cstheme="minorHAnsi"/>
        </w:rPr>
        <w:t>ed</w:t>
      </w:r>
      <w:r w:rsidRPr="00CA678F">
        <w:rPr>
          <w:rFonts w:cstheme="minorHAnsi"/>
        </w:rPr>
        <w:t xml:space="preserve"> to break an existing contract, simply to join the new service when </w:t>
      </w:r>
      <w:r>
        <w:rPr>
          <w:rFonts w:cstheme="minorHAnsi"/>
        </w:rPr>
        <w:t>his or her current contract comes to an end</w:t>
      </w:r>
      <w:r w:rsidRPr="00CA678F">
        <w:rPr>
          <w:rFonts w:cstheme="minorHAnsi"/>
        </w:rPr>
        <w:t>.</w:t>
      </w:r>
    </w:p>
    <w:p w14:paraId="44D0330E" w14:textId="77777777" w:rsidR="009F2CB9" w:rsidRPr="00CA678F" w:rsidRDefault="009F2CB9" w:rsidP="006254C5">
      <w:pPr>
        <w:spacing w:before="100" w:beforeAutospacing="1" w:after="100" w:afterAutospacing="1"/>
        <w:contextualSpacing/>
        <w:rPr>
          <w:rFonts w:cstheme="minorHAnsi"/>
        </w:rPr>
      </w:pPr>
      <w:r>
        <w:rPr>
          <w:rFonts w:cstheme="minorHAnsi"/>
          <w:b/>
          <w:bCs/>
        </w:rPr>
        <w:t>If</w:t>
      </w:r>
      <w:r w:rsidRPr="00CA678F">
        <w:rPr>
          <w:rFonts w:cstheme="minorHAnsi"/>
          <w:b/>
          <w:bCs/>
        </w:rPr>
        <w:t xml:space="preserve"> </w:t>
      </w:r>
      <w:r w:rsidRPr="00CA678F">
        <w:rPr>
          <w:rFonts w:cstheme="minorHAnsi"/>
        </w:rPr>
        <w:t>we secure a contract with a supplier, it is likely to take a minimum of 18 months before a service will be available.</w:t>
      </w:r>
    </w:p>
    <w:p w14:paraId="024377FB" w14:textId="77777777" w:rsidR="009F2CB9" w:rsidRPr="00CA678F" w:rsidRDefault="009F2CB9" w:rsidP="006254C5">
      <w:pPr>
        <w:spacing w:before="100" w:beforeAutospacing="1" w:after="100" w:afterAutospacing="1"/>
        <w:contextualSpacing/>
        <w:rPr>
          <w:rFonts w:cstheme="minorHAnsi"/>
        </w:rPr>
      </w:pPr>
      <w:r w:rsidRPr="00CA678F">
        <w:rPr>
          <w:rFonts w:cstheme="minorHAnsi"/>
        </w:rPr>
        <w:t xml:space="preserve">When the </w:t>
      </w:r>
      <w:r>
        <w:rPr>
          <w:rFonts w:cstheme="minorHAnsi"/>
        </w:rPr>
        <w:t>copper lines are phased out</w:t>
      </w:r>
      <w:r w:rsidRPr="00CA678F">
        <w:rPr>
          <w:rFonts w:cstheme="minorHAnsi"/>
        </w:rPr>
        <w:t xml:space="preserve"> fibre offers a reliable, high-speed broadband connection. </w:t>
      </w:r>
    </w:p>
    <w:p w14:paraId="715E8E21" w14:textId="493DADD4" w:rsidR="009F2CB9" w:rsidRDefault="009F2CB9" w:rsidP="006254C5">
      <w:pPr>
        <w:spacing w:before="100" w:beforeAutospacing="1" w:after="100" w:afterAutospacing="1"/>
        <w:contextualSpacing/>
        <w:rPr>
          <w:rFonts w:cstheme="minorHAnsi"/>
        </w:rPr>
      </w:pPr>
      <w:r>
        <w:rPr>
          <w:rFonts w:cstheme="minorHAnsi"/>
        </w:rPr>
        <w:t>The g</w:t>
      </w:r>
      <w:r w:rsidRPr="00CA678F">
        <w:rPr>
          <w:rFonts w:cstheme="minorHAnsi"/>
        </w:rPr>
        <w:t xml:space="preserve">rant funds the installation of </w:t>
      </w:r>
      <w:r>
        <w:rPr>
          <w:rFonts w:cstheme="minorHAnsi"/>
        </w:rPr>
        <w:t xml:space="preserve">broadband </w:t>
      </w:r>
      <w:r w:rsidRPr="00CA678F">
        <w:rPr>
          <w:rFonts w:cstheme="minorHAnsi"/>
        </w:rPr>
        <w:t xml:space="preserve">infrastructure </w:t>
      </w:r>
      <w:r w:rsidRPr="00CA678F">
        <w:rPr>
          <w:rFonts w:cstheme="minorHAnsi"/>
          <w:b/>
          <w:bCs/>
        </w:rPr>
        <w:t xml:space="preserve">to </w:t>
      </w:r>
      <w:r>
        <w:rPr>
          <w:rFonts w:cstheme="minorHAnsi"/>
          <w:b/>
          <w:bCs/>
        </w:rPr>
        <w:t>an individual</w:t>
      </w:r>
      <w:r w:rsidRPr="00CA678F">
        <w:rPr>
          <w:rFonts w:cstheme="minorHAnsi"/>
          <w:b/>
          <w:bCs/>
        </w:rPr>
        <w:t xml:space="preserve"> property</w:t>
      </w:r>
      <w:r>
        <w:rPr>
          <w:rFonts w:cstheme="minorHAnsi"/>
        </w:rPr>
        <w:t>.</w:t>
      </w:r>
    </w:p>
    <w:p w14:paraId="537F7FCD" w14:textId="5BD09E22" w:rsidR="009F2CB9" w:rsidRPr="00CA678F" w:rsidRDefault="009F2CB9" w:rsidP="006254C5">
      <w:pPr>
        <w:spacing w:before="100" w:beforeAutospacing="1" w:after="100" w:afterAutospacing="1"/>
        <w:contextualSpacing/>
        <w:rPr>
          <w:rFonts w:cstheme="minorHAnsi"/>
        </w:rPr>
      </w:pPr>
      <w:r>
        <w:rPr>
          <w:rFonts w:cstheme="minorHAnsi"/>
        </w:rPr>
        <w:t>The</w:t>
      </w:r>
      <w:r w:rsidRPr="00CA678F">
        <w:rPr>
          <w:rFonts w:cstheme="minorHAnsi"/>
        </w:rPr>
        <w:t xml:space="preserve"> end user is</w:t>
      </w:r>
      <w:r>
        <w:rPr>
          <w:rFonts w:cstheme="minorHAnsi"/>
        </w:rPr>
        <w:t xml:space="preserve"> responsible for the final cost of the </w:t>
      </w:r>
      <w:r w:rsidRPr="00CA678F">
        <w:rPr>
          <w:rFonts w:cstheme="minorHAnsi"/>
        </w:rPr>
        <w:t xml:space="preserve">connection into </w:t>
      </w:r>
      <w:r>
        <w:rPr>
          <w:rFonts w:cstheme="minorHAnsi"/>
        </w:rPr>
        <w:t xml:space="preserve">the </w:t>
      </w:r>
      <w:r w:rsidRPr="00CA678F">
        <w:rPr>
          <w:rFonts w:cstheme="minorHAnsi"/>
        </w:rPr>
        <w:t xml:space="preserve"> home, which current</w:t>
      </w:r>
      <w:r>
        <w:rPr>
          <w:rFonts w:cstheme="minorHAnsi"/>
        </w:rPr>
        <w:t xml:space="preserve"> providers estimate will cost  £0-£99 and the monthly subscription for the internet service.</w:t>
      </w:r>
    </w:p>
    <w:p w14:paraId="11B4E5B0" w14:textId="77777777" w:rsidR="006254C5" w:rsidRDefault="006254C5" w:rsidP="00226420">
      <w:pPr>
        <w:rPr>
          <w:rFonts w:eastAsia="Calibri" w:cstheme="minorHAnsi"/>
          <w:b/>
          <w:bCs/>
          <w:color w:val="7030A0"/>
          <w:sz w:val="28"/>
        </w:rPr>
      </w:pPr>
    </w:p>
    <w:p w14:paraId="53EB8BE7" w14:textId="7E43FF4C" w:rsidR="00226420" w:rsidRPr="003C5A10" w:rsidRDefault="00226420" w:rsidP="005D5CF6">
      <w:pPr>
        <w:contextualSpacing/>
        <w:rPr>
          <w:rFonts w:eastAsia="Calibri" w:cstheme="minorHAnsi"/>
          <w:b/>
          <w:color w:val="7030A0"/>
          <w:sz w:val="28"/>
        </w:rPr>
      </w:pPr>
      <w:r w:rsidRPr="00A234F3">
        <w:rPr>
          <w:rFonts w:eastAsia="Calibri" w:cstheme="minorHAnsi"/>
          <w:b/>
          <w:bCs/>
          <w:color w:val="7030A0"/>
          <w:sz w:val="28"/>
        </w:rPr>
        <w:t xml:space="preserve">To register for </w:t>
      </w:r>
      <w:r w:rsidRPr="00A234F3">
        <w:rPr>
          <w:rFonts w:eastAsia="Calibri" w:cstheme="minorHAnsi"/>
          <w:b/>
          <w:color w:val="7030A0"/>
          <w:sz w:val="28"/>
        </w:rPr>
        <w:t>the Community Broadband Grant</w:t>
      </w:r>
    </w:p>
    <w:p w14:paraId="59AB84BF" w14:textId="0852CEE8" w:rsidR="00226420" w:rsidRDefault="00226420" w:rsidP="005D5CF6">
      <w:pPr>
        <w:contextualSpacing/>
        <w:rPr>
          <w:rFonts w:cstheme="minorHAnsi"/>
        </w:rPr>
      </w:pPr>
      <w:r>
        <w:rPr>
          <w:rFonts w:cstheme="minorHAnsi"/>
        </w:rPr>
        <w:t xml:space="preserve">To be able to take advantage of the Community Broadband Grant eligible properties will need to register.  Only when </w:t>
      </w:r>
      <w:r w:rsidR="006254C5">
        <w:rPr>
          <w:rFonts w:cstheme="minorHAnsi"/>
        </w:rPr>
        <w:t xml:space="preserve">we </w:t>
      </w:r>
      <w:r>
        <w:rPr>
          <w:rFonts w:cstheme="minorHAnsi"/>
        </w:rPr>
        <w:t>have sufficient interest in the scheme will we be able to progress</w:t>
      </w:r>
      <w:r w:rsidR="005D5CF6">
        <w:rPr>
          <w:rFonts w:cstheme="minorHAnsi"/>
        </w:rPr>
        <w:t>.  The exact percentage of properties that need to sign up is dependent on the final cost of the installation but as a Parish Council we should aim to encourage up to 75% of eligible properties to participate if we are to develop a successful scheme.</w:t>
      </w:r>
    </w:p>
    <w:p w14:paraId="576295D2" w14:textId="6B752925" w:rsidR="005D5CF6" w:rsidRDefault="006254C5" w:rsidP="00226420">
      <w:pPr>
        <w:rPr>
          <w:rStyle w:val="Hyperlink"/>
          <w:rFonts w:eastAsia="Calibri" w:cstheme="minorHAnsi"/>
        </w:rPr>
      </w:pPr>
      <w:r>
        <w:rPr>
          <w:rFonts w:cstheme="minorHAnsi"/>
        </w:rPr>
        <w:t>For a property</w:t>
      </w:r>
      <w:r w:rsidR="00226420" w:rsidRPr="00574EA1">
        <w:rPr>
          <w:rFonts w:cstheme="minorHAnsi"/>
        </w:rPr>
        <w:t xml:space="preserve"> to be included  regist</w:t>
      </w:r>
      <w:r>
        <w:rPr>
          <w:rFonts w:cstheme="minorHAnsi"/>
        </w:rPr>
        <w:t xml:space="preserve">ration </w:t>
      </w:r>
      <w:r w:rsidR="00226420" w:rsidRPr="00574EA1">
        <w:rPr>
          <w:rFonts w:cstheme="minorHAnsi"/>
        </w:rPr>
        <w:t xml:space="preserve"> </w:t>
      </w:r>
      <w:r>
        <w:rPr>
          <w:rFonts w:cstheme="minorHAnsi"/>
        </w:rPr>
        <w:t xml:space="preserve">is required </w:t>
      </w:r>
      <w:r w:rsidR="00226420" w:rsidRPr="00574EA1">
        <w:rPr>
          <w:rFonts w:cstheme="minorHAnsi"/>
        </w:rPr>
        <w:t xml:space="preserve">for the </w:t>
      </w:r>
      <w:r w:rsidR="00226420">
        <w:rPr>
          <w:rFonts w:cstheme="minorHAnsi"/>
        </w:rPr>
        <w:t>Community Broadband Grant</w:t>
      </w:r>
      <w:r>
        <w:rPr>
          <w:rFonts w:cstheme="minorHAnsi"/>
        </w:rPr>
        <w:t xml:space="preserve">.  Full details can be </w:t>
      </w:r>
      <w:r w:rsidR="00BA627A">
        <w:rPr>
          <w:rFonts w:cstheme="minorHAnsi"/>
        </w:rPr>
        <w:t xml:space="preserve">found by using </w:t>
      </w:r>
      <w:r w:rsidR="00226420" w:rsidRPr="00574EA1">
        <w:rPr>
          <w:rFonts w:cstheme="minorHAnsi"/>
        </w:rPr>
        <w:t>the address checker function on the website</w:t>
      </w:r>
      <w:r w:rsidR="00226420" w:rsidRPr="00A234F3">
        <w:rPr>
          <w:rFonts w:cstheme="minorHAnsi"/>
        </w:rPr>
        <w:t xml:space="preserve"> </w:t>
      </w:r>
      <w:hyperlink r:id="rId7" w:history="1">
        <w:r w:rsidR="00226420" w:rsidRPr="00A234F3">
          <w:rPr>
            <w:rStyle w:val="Hyperlink"/>
            <w:rFonts w:cstheme="minorHAnsi"/>
          </w:rPr>
          <w:t>www.fastershire.com</w:t>
        </w:r>
      </w:hyperlink>
      <w:r w:rsidR="00226420" w:rsidRPr="00A234F3">
        <w:rPr>
          <w:rFonts w:cstheme="minorHAnsi"/>
          <w:color w:val="4D4D4D"/>
        </w:rPr>
        <w:t xml:space="preserve"> </w:t>
      </w:r>
      <w:r w:rsidR="005D5CF6">
        <w:rPr>
          <w:rFonts w:cstheme="minorHAnsi"/>
          <w:color w:val="4D4D4D"/>
        </w:rPr>
        <w:t xml:space="preserve"> </w:t>
      </w:r>
      <w:r w:rsidR="005D5CF6" w:rsidRPr="005D5CF6">
        <w:rPr>
          <w:rFonts w:cs="Calibri (Body)"/>
        </w:rPr>
        <w:t>Eligible properties can then proceed to register</w:t>
      </w:r>
      <w:r w:rsidR="005D5CF6">
        <w:rPr>
          <w:rFonts w:cs="Calibri (Body)"/>
        </w:rPr>
        <w:t>.</w:t>
      </w:r>
      <w:r w:rsidR="003C5A10" w:rsidRPr="003C5A10">
        <w:rPr>
          <w:rFonts w:eastAsia="Calibri" w:cstheme="minorHAnsi"/>
        </w:rPr>
        <w:t xml:space="preserve"> </w:t>
      </w:r>
      <w:r w:rsidR="003C5A10">
        <w:rPr>
          <w:rFonts w:eastAsia="Calibri" w:cstheme="minorHAnsi"/>
        </w:rPr>
        <w:t>Anyone with further questions, can contact,</w:t>
      </w:r>
      <w:r w:rsidR="003C5A10" w:rsidRPr="00A234F3">
        <w:rPr>
          <w:rFonts w:eastAsia="Calibri" w:cstheme="minorHAnsi"/>
        </w:rPr>
        <w:t xml:space="preserve"> </w:t>
      </w:r>
      <w:hyperlink r:id="rId8" w:history="1">
        <w:r w:rsidR="003C5A10" w:rsidRPr="00A234F3">
          <w:rPr>
            <w:rStyle w:val="Hyperlink"/>
            <w:rFonts w:eastAsia="Calibri" w:cstheme="minorHAnsi"/>
          </w:rPr>
          <w:t>grants@fastershire.com</w:t>
        </w:r>
      </w:hyperlink>
      <w:r w:rsidR="003C5A10" w:rsidRPr="00A234F3">
        <w:rPr>
          <w:rStyle w:val="Hyperlink"/>
          <w:rFonts w:eastAsia="Calibri" w:cstheme="minorHAnsi"/>
        </w:rPr>
        <w:t xml:space="preserve"> </w:t>
      </w:r>
    </w:p>
    <w:p w14:paraId="08B850CE" w14:textId="220092BB" w:rsidR="004273BA" w:rsidRDefault="004273BA" w:rsidP="00226420">
      <w:pPr>
        <w:rPr>
          <w:rStyle w:val="Hyperlink"/>
          <w:rFonts w:eastAsia="Calibri" w:cstheme="minorHAnsi"/>
        </w:rPr>
      </w:pPr>
    </w:p>
    <w:p w14:paraId="51EA1BAD" w14:textId="3EA01D46" w:rsidR="004273BA" w:rsidRPr="004273BA" w:rsidRDefault="004273BA" w:rsidP="00226420">
      <w:pPr>
        <w:rPr>
          <w:rFonts w:eastAsia="Calibri" w:cstheme="minorHAnsi"/>
          <w:b/>
          <w:bCs/>
          <w:color w:val="7030A0"/>
          <w:sz w:val="28"/>
        </w:rPr>
      </w:pPr>
      <w:r>
        <w:rPr>
          <w:rFonts w:eastAsia="Calibri" w:cstheme="minorHAnsi"/>
          <w:b/>
          <w:bCs/>
          <w:color w:val="7030A0"/>
          <w:sz w:val="28"/>
        </w:rPr>
        <w:t>Recommendation</w:t>
      </w:r>
    </w:p>
    <w:p w14:paraId="6C457820" w14:textId="39B028E5" w:rsidR="004273BA" w:rsidRDefault="004273BA" w:rsidP="00226420">
      <w:pPr>
        <w:rPr>
          <w:rFonts w:cs="Calibri (Body)"/>
        </w:rPr>
      </w:pPr>
      <w:r>
        <w:rPr>
          <w:rFonts w:cs="Calibri (Body)"/>
        </w:rPr>
        <w:t>It is recommended that the Parish Council:</w:t>
      </w:r>
    </w:p>
    <w:p w14:paraId="361DBB59" w14:textId="2DA91D39" w:rsidR="004273BA" w:rsidRDefault="004273BA" w:rsidP="00226420">
      <w:pPr>
        <w:rPr>
          <w:rFonts w:cs="Calibri (Body)"/>
        </w:rPr>
      </w:pPr>
    </w:p>
    <w:p w14:paraId="4BD2F005" w14:textId="2F946030" w:rsidR="004273BA" w:rsidRDefault="004273BA" w:rsidP="004273BA">
      <w:pPr>
        <w:pStyle w:val="ListParagraph"/>
        <w:numPr>
          <w:ilvl w:val="0"/>
          <w:numId w:val="3"/>
        </w:numPr>
        <w:rPr>
          <w:rFonts w:cs="Calibri (Body)"/>
        </w:rPr>
      </w:pPr>
      <w:r>
        <w:rPr>
          <w:rFonts w:cs="Calibri (Body)"/>
        </w:rPr>
        <w:t xml:space="preserve">Confirm </w:t>
      </w:r>
      <w:r w:rsidR="00E95AF9">
        <w:rPr>
          <w:rFonts w:cs="Calibri (Body)"/>
        </w:rPr>
        <w:t xml:space="preserve">formal </w:t>
      </w:r>
      <w:r>
        <w:rPr>
          <w:rFonts w:cs="Calibri (Body)"/>
        </w:rPr>
        <w:t>support for the Kempley Community Project</w:t>
      </w:r>
      <w:r w:rsidR="00E95AF9">
        <w:rPr>
          <w:rFonts w:cs="Calibri (Body)"/>
        </w:rPr>
        <w:t xml:space="preserve"> to Fastershire </w:t>
      </w:r>
      <w:r>
        <w:rPr>
          <w:rFonts w:cs="Calibri (Body)"/>
        </w:rPr>
        <w:t>;</w:t>
      </w:r>
    </w:p>
    <w:p w14:paraId="425130D0" w14:textId="77CB7756" w:rsidR="00E95AF9" w:rsidRPr="004273BA" w:rsidRDefault="00E95AF9" w:rsidP="004273BA">
      <w:pPr>
        <w:pStyle w:val="ListParagraph"/>
        <w:numPr>
          <w:ilvl w:val="0"/>
          <w:numId w:val="3"/>
        </w:numPr>
        <w:rPr>
          <w:rFonts w:cs="Calibri (Body)"/>
        </w:rPr>
      </w:pPr>
      <w:r>
        <w:rPr>
          <w:rFonts w:cs="Calibri (Body)"/>
        </w:rPr>
        <w:t>Request the Parish Council to liaise with Fastershires and the Parish Clerks in Dymock, Yatton, Much Marcle and Upton Bishop to set up a parish meeting at which full details of the scheme can be discussed with eligible  local residents;</w:t>
      </w:r>
    </w:p>
    <w:p w14:paraId="394B1223" w14:textId="77777777" w:rsidR="00E95AF9" w:rsidRDefault="00E95AF9" w:rsidP="00226420">
      <w:pPr>
        <w:rPr>
          <w:rFonts w:cs="Calibri (Body)"/>
        </w:rPr>
      </w:pPr>
      <w:r>
        <w:rPr>
          <w:rFonts w:cs="Calibri (Body)"/>
        </w:rPr>
        <w:t xml:space="preserve"> </w:t>
      </w:r>
    </w:p>
    <w:p w14:paraId="756BFFAC" w14:textId="77777777" w:rsidR="00E95AF9" w:rsidRDefault="00E95AF9" w:rsidP="00226420">
      <w:pPr>
        <w:rPr>
          <w:rFonts w:cs="Calibri (Body)"/>
        </w:rPr>
      </w:pPr>
    </w:p>
    <w:p w14:paraId="62B13280" w14:textId="10039B5D" w:rsidR="00226420" w:rsidRPr="005D5CF6" w:rsidRDefault="005D5CF6" w:rsidP="00226420">
      <w:pPr>
        <w:rPr>
          <w:rFonts w:cs="Calibri (Body)"/>
        </w:rPr>
      </w:pPr>
      <w:r>
        <w:rPr>
          <w:rFonts w:cs="Calibri (Body)"/>
        </w:rPr>
        <w:t>Martin Brocklehurst – Chair Kempley Parish Council</w:t>
      </w:r>
    </w:p>
    <w:p w14:paraId="1AD90822" w14:textId="77777777" w:rsidR="009F2CB9" w:rsidRPr="009F2CB9" w:rsidRDefault="009F2CB9" w:rsidP="009F2CB9">
      <w:pPr>
        <w:rPr>
          <w:rFonts w:cstheme="minorHAnsi"/>
        </w:rPr>
      </w:pPr>
    </w:p>
    <w:p w14:paraId="2FA52D09" w14:textId="61921935" w:rsidR="00084E40" w:rsidRDefault="00BA2065" w:rsidP="004F7DD6">
      <w:pPr>
        <w:rPr>
          <w:rFonts w:asciiTheme="majorHAnsi" w:hAnsiTheme="majorHAnsi" w:cstheme="majorHAnsi"/>
          <w:b/>
          <w:bCs/>
        </w:rPr>
        <w:sectPr w:rsidR="00084E40" w:rsidSect="00E95AF9">
          <w:pgSz w:w="11906" w:h="16838"/>
          <w:pgMar w:top="250" w:right="685" w:bottom="1440" w:left="1440" w:header="708" w:footer="708" w:gutter="0"/>
          <w:cols w:space="708"/>
          <w:docGrid w:linePitch="360"/>
        </w:sectPr>
      </w:pPr>
      <w:r>
        <w:rPr>
          <w:rFonts w:asciiTheme="majorHAnsi" w:hAnsiTheme="majorHAnsi" w:cstheme="majorHAnsi"/>
          <w:b/>
          <w:bCs/>
        </w:rPr>
        <w:br w:type="page"/>
      </w:r>
    </w:p>
    <w:p w14:paraId="5A804EDB" w14:textId="77777777" w:rsidR="00084E40" w:rsidRDefault="00C1678A" w:rsidP="00084E40">
      <w:pPr>
        <w:ind w:firstLine="426"/>
        <w:sectPr w:rsidR="00084E40" w:rsidSect="00084E40">
          <w:pgSz w:w="16838" w:h="11906" w:orient="landscape"/>
          <w:pgMar w:top="685" w:right="1440" w:bottom="1440" w:left="22" w:header="708" w:footer="708" w:gutter="0"/>
          <w:cols w:space="708"/>
          <w:docGrid w:linePitch="360"/>
        </w:sectPr>
      </w:pPr>
      <w:r w:rsidRPr="000B3949">
        <w:rPr>
          <w:noProof/>
          <w:lang w:eastAsia="en-GB"/>
        </w:rPr>
        <w:lastRenderedPageBreak/>
        <w:drawing>
          <wp:inline distT="0" distB="0" distL="0" distR="0" wp14:anchorId="17226652" wp14:editId="019FDA0D">
            <wp:extent cx="8050587" cy="5968409"/>
            <wp:effectExtent l="0" t="0" r="1270" b="635"/>
            <wp:docPr id="3" name="Picture 3" descr="Char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map&#10;&#10;Description automatically generated"/>
                    <pic:cNvPicPr/>
                  </pic:nvPicPr>
                  <pic:blipFill>
                    <a:blip r:embed="rId9"/>
                    <a:stretch>
                      <a:fillRect/>
                    </a:stretch>
                  </pic:blipFill>
                  <pic:spPr>
                    <a:xfrm>
                      <a:off x="0" y="0"/>
                      <a:ext cx="8073881" cy="5985678"/>
                    </a:xfrm>
                    <a:prstGeom prst="rect">
                      <a:avLst/>
                    </a:prstGeom>
                  </pic:spPr>
                </pic:pic>
              </a:graphicData>
            </a:graphic>
          </wp:inline>
        </w:drawing>
      </w:r>
    </w:p>
    <w:p w14:paraId="55F41BD4" w14:textId="77777777" w:rsidR="00C1678A" w:rsidRDefault="00C1678A" w:rsidP="004273BA"/>
    <w:sectPr w:rsidR="00C1678A" w:rsidSect="00084E40">
      <w:pgSz w:w="11906" w:h="16838"/>
      <w:pgMar w:top="22" w:right="685"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Body)">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BB7EC3"/>
    <w:multiLevelType w:val="hybridMultilevel"/>
    <w:tmpl w:val="8042C2A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5D25491"/>
    <w:multiLevelType w:val="hybridMultilevel"/>
    <w:tmpl w:val="2154E0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703709D"/>
    <w:multiLevelType w:val="hybridMultilevel"/>
    <w:tmpl w:val="087CF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E82"/>
    <w:rsid w:val="00084E40"/>
    <w:rsid w:val="00226420"/>
    <w:rsid w:val="00304351"/>
    <w:rsid w:val="003C5A10"/>
    <w:rsid w:val="004273BA"/>
    <w:rsid w:val="004353BB"/>
    <w:rsid w:val="004F7DD6"/>
    <w:rsid w:val="00510E82"/>
    <w:rsid w:val="0054000F"/>
    <w:rsid w:val="005D5CF6"/>
    <w:rsid w:val="005E643E"/>
    <w:rsid w:val="006254C5"/>
    <w:rsid w:val="00631344"/>
    <w:rsid w:val="00884F9D"/>
    <w:rsid w:val="009462AD"/>
    <w:rsid w:val="009F2CB9"/>
    <w:rsid w:val="00BA2065"/>
    <w:rsid w:val="00BA627A"/>
    <w:rsid w:val="00C1678A"/>
    <w:rsid w:val="00E92B94"/>
    <w:rsid w:val="00E95AF9"/>
    <w:rsid w:val="00F662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4521F"/>
  <w15:chartTrackingRefBased/>
  <w15:docId w15:val="{67AE914B-2907-4F44-B44A-5F30B1DB7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2B94"/>
    <w:pPr>
      <w:ind w:left="720"/>
      <w:contextualSpacing/>
    </w:pPr>
  </w:style>
  <w:style w:type="character" w:styleId="Hyperlink">
    <w:name w:val="Hyperlink"/>
    <w:basedOn w:val="DefaultParagraphFont"/>
    <w:unhideWhenUsed/>
    <w:rsid w:val="00226420"/>
    <w:rPr>
      <w:color w:val="0563C1" w:themeColor="hyperlink"/>
      <w:u w:val="single"/>
    </w:rPr>
  </w:style>
  <w:style w:type="character" w:styleId="FollowedHyperlink">
    <w:name w:val="FollowedHyperlink"/>
    <w:basedOn w:val="DefaultParagraphFont"/>
    <w:uiPriority w:val="99"/>
    <w:semiHidden/>
    <w:unhideWhenUsed/>
    <w:rsid w:val="002264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ants@fastershire.com" TargetMode="External"/><Relationship Id="rId3" Type="http://schemas.openxmlformats.org/officeDocument/2006/relationships/settings" Target="settings.xml"/><Relationship Id="rId7" Type="http://schemas.openxmlformats.org/officeDocument/2006/relationships/hyperlink" Target="http://www.fastershir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764</Words>
  <Characters>4356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Brocklehurst</dc:creator>
  <cp:keywords/>
  <dc:description/>
  <cp:lastModifiedBy>Tim Dain</cp:lastModifiedBy>
  <cp:revision>2</cp:revision>
  <cp:lastPrinted>2022-05-10T14:55:00Z</cp:lastPrinted>
  <dcterms:created xsi:type="dcterms:W3CDTF">2022-05-11T14:05:00Z</dcterms:created>
  <dcterms:modified xsi:type="dcterms:W3CDTF">2022-05-11T14:05:00Z</dcterms:modified>
</cp:coreProperties>
</file>