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88E036" w14:textId="57C9F0A7" w:rsidR="00E81978" w:rsidRDefault="0020357D" w:rsidP="00652629">
      <w:pPr>
        <w:pStyle w:val="SectionTitle"/>
      </w:pPr>
      <w:sdt>
        <w:sdtPr>
          <w:alias w:val="Section title:"/>
          <w:tag w:val="Section title:"/>
          <w:id w:val="984196707"/>
          <w:placeholder>
            <w:docPart w:val="CD306CFCD2BD4D20BE48A9B7113C68C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264A7">
            <w:rPr>
              <w:lang w:val="en-GB"/>
            </w:rPr>
            <w:t xml:space="preserve">KEMPLEY DAFFODIL WEEKEND </w:t>
          </w:r>
          <w:r w:rsidR="004264A7">
            <w:rPr>
              <w:lang w:val="en-GB"/>
            </w:rPr>
            <w:br/>
            <w:t xml:space="preserve">GCC BUILD BACK BETTER MARKET TOWNS FUND EXPENDITURE REPORT </w:t>
          </w:r>
          <w:r w:rsidR="004264A7">
            <w:rPr>
              <w:lang w:val="en-GB"/>
            </w:rPr>
            <w:br/>
            <w:t>by Arin Spencer</w:t>
          </w:r>
        </w:sdtContent>
      </w:sdt>
    </w:p>
    <w:p w14:paraId="6806C844" w14:textId="31C9FCDF" w:rsidR="00E81978" w:rsidRDefault="00482C82" w:rsidP="00652629">
      <w:pPr>
        <w:pStyle w:val="Heading1"/>
      </w:pPr>
      <w:r>
        <w:t>Overview</w:t>
      </w:r>
    </w:p>
    <w:p w14:paraId="0CBB30E8" w14:textId="37725F63" w:rsidR="00C31E79" w:rsidRDefault="00482C82" w:rsidP="00652629">
      <w:pPr>
        <w:spacing w:line="360" w:lineRule="auto"/>
      </w:pPr>
      <w:r>
        <w:t xml:space="preserve">The re-launch of the </w:t>
      </w:r>
      <w:proofErr w:type="spellStart"/>
      <w:r>
        <w:t>Kempley</w:t>
      </w:r>
      <w:proofErr w:type="spellEnd"/>
      <w:r>
        <w:t xml:space="preserve"> Daffodil Weekend</w:t>
      </w:r>
      <w:r w:rsidR="00F07EED">
        <w:t>,</w:t>
      </w:r>
      <w:r>
        <w:t xml:space="preserve"> following two years of cancellations due to COVID</w:t>
      </w:r>
      <w:r w:rsidR="00F07EED">
        <w:t>,</w:t>
      </w:r>
      <w:r>
        <w:t xml:space="preserve"> was a tremendous success.  </w:t>
      </w:r>
      <w:r w:rsidR="00C31E79">
        <w:t xml:space="preserve">Over 350 people took part in the volunteer led guided walks with 200 cars filling the car park at lunch time on both days and rough estimates suggesting that between 1000 and 2000 tourists visited the village </w:t>
      </w:r>
      <w:r w:rsidR="00F07EED">
        <w:t>during</w:t>
      </w:r>
      <w:r w:rsidR="00C31E79">
        <w:t xml:space="preserve"> the event. </w:t>
      </w:r>
    </w:p>
    <w:p w14:paraId="39C21B34" w14:textId="7DA91397" w:rsidR="00F07EED" w:rsidRDefault="00F07EED" w:rsidP="00652629">
      <w:pPr>
        <w:spacing w:line="360" w:lineRule="auto"/>
      </w:pPr>
      <w:r>
        <w:t xml:space="preserve">The weather couldn’t have been better and the daffodils put on their very best show for a steady stream of delighted visitors. </w:t>
      </w:r>
    </w:p>
    <w:p w14:paraId="4B7277A9" w14:textId="2D6C97F5" w:rsidR="00C31E79" w:rsidRDefault="00F07EED" w:rsidP="00652629">
      <w:pPr>
        <w:spacing w:line="360" w:lineRule="auto"/>
      </w:pPr>
      <w:r>
        <w:t xml:space="preserve">In addition to the usual tea and cakes, the GCC Market Towns grant funding also made it possible to serve bacon </w:t>
      </w:r>
      <w:proofErr w:type="spellStart"/>
      <w:r>
        <w:t>butties</w:t>
      </w:r>
      <w:proofErr w:type="spellEnd"/>
      <w:r>
        <w:t xml:space="preserve">, hamburgers and hot dogs to visitors which proved extremely popular and sold out on both days. </w:t>
      </w:r>
    </w:p>
    <w:p w14:paraId="2BC2F578" w14:textId="1C95B14B" w:rsidR="00C31E79" w:rsidRPr="007B3B6B" w:rsidRDefault="00C73EEF" w:rsidP="00652629">
      <w:pPr>
        <w:spacing w:line="360" w:lineRule="auto"/>
      </w:pPr>
      <w:r>
        <w:t xml:space="preserve">This is a proudly family friendly event and it was a pleasure to see old and young enjoying the event together with the help of the </w:t>
      </w:r>
      <w:proofErr w:type="spellStart"/>
      <w:r>
        <w:t>Daff</w:t>
      </w:r>
      <w:proofErr w:type="spellEnd"/>
      <w:r>
        <w:t xml:space="preserve"> and Ride Minibus carrying the less mobile to see carpets of daffodils growing alongside local lanes and through the woodlands while more energetic family groups joined the guided walks </w:t>
      </w:r>
      <w:r w:rsidR="007B3B6B">
        <w:t>across</w:t>
      </w:r>
      <w:r>
        <w:t xml:space="preserve"> local farms and woodlands. </w:t>
      </w:r>
    </w:p>
    <w:p w14:paraId="6775DFF8" w14:textId="67BD1D30" w:rsidR="00652629" w:rsidRDefault="00652629" w:rsidP="00652629">
      <w:pPr>
        <w:spacing w:line="360" w:lineRule="auto"/>
        <w:rPr>
          <w:rFonts w:asciiTheme="majorHAnsi" w:eastAsiaTheme="majorEastAsia" w:hAnsiTheme="majorHAnsi" w:cstheme="majorBidi"/>
          <w:b/>
          <w:bCs/>
        </w:rPr>
      </w:pPr>
    </w:p>
    <w:p w14:paraId="46C61B59" w14:textId="4CA4C066" w:rsidR="00E81978" w:rsidRPr="00C31D30" w:rsidRDefault="007B3B6B" w:rsidP="00652629">
      <w:pPr>
        <w:pStyle w:val="Heading2"/>
        <w:tabs>
          <w:tab w:val="left" w:pos="2630"/>
        </w:tabs>
      </w:pPr>
      <w:r>
        <w:t>Budget</w:t>
      </w:r>
      <w:r w:rsidR="00B16C9E">
        <w:tab/>
      </w:r>
    </w:p>
    <w:p w14:paraId="50B02E71" w14:textId="77777777" w:rsidR="007B3B6B" w:rsidRDefault="007B3B6B" w:rsidP="00652629">
      <w:pPr>
        <w:pStyle w:val="NoSpacing"/>
        <w:spacing w:line="360" w:lineRule="auto"/>
      </w:pPr>
      <w:r>
        <w:t xml:space="preserve">An amount of £7,800 in grant funding was approved by the Gloucestershire County Council Build Back Better Market Towns Fund and paid to </w:t>
      </w:r>
      <w:proofErr w:type="spellStart"/>
      <w:r>
        <w:t>Kempley</w:t>
      </w:r>
      <w:proofErr w:type="spellEnd"/>
      <w:r>
        <w:t xml:space="preserve"> Parish Council on 18/01/2022.</w:t>
      </w:r>
    </w:p>
    <w:p w14:paraId="1E62695B" w14:textId="62BD7F9D" w:rsidR="007B3B6B" w:rsidRDefault="007B3B6B" w:rsidP="00652629">
      <w:pPr>
        <w:pStyle w:val="NoSpacing"/>
        <w:spacing w:line="360" w:lineRule="auto"/>
      </w:pPr>
      <w:r>
        <w:t>The budget on which basis the grant was awarded was as follows:</w:t>
      </w:r>
    </w:p>
    <w:p w14:paraId="2380EFF4" w14:textId="77777777" w:rsidR="00652629" w:rsidRDefault="00652629" w:rsidP="00652629">
      <w:pPr>
        <w:pStyle w:val="NoSpacing"/>
        <w:spacing w:line="360" w:lineRule="auto"/>
      </w:pPr>
    </w:p>
    <w:p w14:paraId="1AD58E71" w14:textId="7DD0EE44" w:rsidR="007B3B6B" w:rsidRDefault="007B3B6B" w:rsidP="00652629">
      <w:pPr>
        <w:pStyle w:val="NoSpacing"/>
        <w:tabs>
          <w:tab w:val="right" w:pos="8931"/>
        </w:tabs>
        <w:spacing w:line="360" w:lineRule="auto"/>
      </w:pPr>
      <w:proofErr w:type="spellStart"/>
      <w:r>
        <w:t>Daff</w:t>
      </w:r>
      <w:proofErr w:type="spellEnd"/>
      <w:r>
        <w:t xml:space="preserve"> &amp; Ride Minibus / bus hire plus drivers</w:t>
      </w:r>
      <w:r>
        <w:tab/>
        <w:t>500</w:t>
      </w:r>
    </w:p>
    <w:p w14:paraId="46510E77" w14:textId="3E1B459C" w:rsidR="007B3B6B" w:rsidRDefault="007B3B6B" w:rsidP="00652629">
      <w:pPr>
        <w:pStyle w:val="NoSpacing"/>
        <w:tabs>
          <w:tab w:val="right" w:pos="8931"/>
        </w:tabs>
        <w:spacing w:line="360" w:lineRule="auto"/>
      </w:pPr>
      <w:r>
        <w:t>Additional promotional publicity items</w:t>
      </w:r>
      <w:r>
        <w:tab/>
        <w:t>100</w:t>
      </w:r>
    </w:p>
    <w:p w14:paraId="3A7318EA" w14:textId="5D0574E6" w:rsidR="00B16C9E" w:rsidRDefault="007B3B6B" w:rsidP="00652629">
      <w:pPr>
        <w:pStyle w:val="NoSpacing"/>
        <w:tabs>
          <w:tab w:val="right" w:pos="8931"/>
        </w:tabs>
        <w:spacing w:line="360" w:lineRule="auto"/>
      </w:pPr>
      <w:r>
        <w:t xml:space="preserve">7 x </w:t>
      </w:r>
      <w:proofErr w:type="spellStart"/>
      <w:r>
        <w:t>Kempley</w:t>
      </w:r>
      <w:proofErr w:type="spellEnd"/>
      <w:r>
        <w:t xml:space="preserve"> Village Event signs</w:t>
      </w:r>
      <w:r>
        <w:tab/>
        <w:t>4,000</w:t>
      </w:r>
    </w:p>
    <w:p w14:paraId="35628DF9" w14:textId="2B91F4A0" w:rsidR="00B16C9E" w:rsidRDefault="00B16C9E" w:rsidP="00652629">
      <w:pPr>
        <w:pStyle w:val="NoSpacing"/>
        <w:tabs>
          <w:tab w:val="right" w:pos="8931"/>
        </w:tabs>
        <w:spacing w:line="360" w:lineRule="auto"/>
      </w:pPr>
      <w:r>
        <w:t>Temporary event directional signage</w:t>
      </w:r>
      <w:r>
        <w:tab/>
        <w:t>200</w:t>
      </w:r>
    </w:p>
    <w:p w14:paraId="19626862" w14:textId="33F4E11B" w:rsidR="00B16C9E" w:rsidRDefault="00B16C9E" w:rsidP="00652629">
      <w:pPr>
        <w:pStyle w:val="NoSpacing"/>
        <w:tabs>
          <w:tab w:val="right" w:pos="8931"/>
        </w:tabs>
        <w:spacing w:line="360" w:lineRule="auto"/>
      </w:pPr>
      <w:r>
        <w:t xml:space="preserve">Enhanced event </w:t>
      </w:r>
      <w:proofErr w:type="spellStart"/>
      <w:r>
        <w:t>programme</w:t>
      </w:r>
      <w:proofErr w:type="spellEnd"/>
      <w:r>
        <w:tab/>
        <w:t>700</w:t>
      </w:r>
    </w:p>
    <w:p w14:paraId="546C905D" w14:textId="60B1C43A" w:rsidR="00B16C9E" w:rsidRDefault="00B16C9E" w:rsidP="00652629">
      <w:pPr>
        <w:pStyle w:val="NoSpacing"/>
        <w:tabs>
          <w:tab w:val="right" w:pos="8931"/>
        </w:tabs>
        <w:spacing w:line="360" w:lineRule="auto"/>
      </w:pPr>
      <w:r>
        <w:t xml:space="preserve">Part time organizer 20hrs/month at £10.86/hour for 6 months + </w:t>
      </w:r>
      <w:proofErr w:type="spellStart"/>
      <w:r>
        <w:t>Exp</w:t>
      </w:r>
      <w:proofErr w:type="spellEnd"/>
      <w:r>
        <w:tab/>
        <w:t>2,300</w:t>
      </w:r>
    </w:p>
    <w:p w14:paraId="6C7D6295" w14:textId="4F9E4474" w:rsidR="00B16C9E" w:rsidRDefault="00B16C9E" w:rsidP="00652629">
      <w:pPr>
        <w:pStyle w:val="NoSpacing"/>
        <w:tabs>
          <w:tab w:val="right" w:pos="8931"/>
        </w:tabs>
        <w:spacing w:line="360" w:lineRule="auto"/>
        <w:rPr>
          <w:b/>
          <w:bCs/>
        </w:rPr>
      </w:pPr>
      <w:r>
        <w:rPr>
          <w:b/>
          <w:bCs/>
        </w:rPr>
        <w:t>Total</w:t>
      </w:r>
      <w:r>
        <w:rPr>
          <w:b/>
          <w:bCs/>
        </w:rPr>
        <w:tab/>
        <w:t>7,800</w:t>
      </w:r>
    </w:p>
    <w:p w14:paraId="02567951" w14:textId="77777777" w:rsidR="007B3B6B" w:rsidRDefault="007B3B6B" w:rsidP="00652629">
      <w:pPr>
        <w:pStyle w:val="NoSpacing"/>
        <w:spacing w:line="360" w:lineRule="auto"/>
      </w:pPr>
    </w:p>
    <w:p w14:paraId="30A62A13" w14:textId="3D5024D6" w:rsidR="00652629" w:rsidRPr="00652629" w:rsidRDefault="00B16C9E" w:rsidP="00652629">
      <w:pPr>
        <w:pStyle w:val="Heading3"/>
        <w:ind w:firstLine="0"/>
      </w:pPr>
      <w:r>
        <w:t>Actual Expenditure</w:t>
      </w:r>
    </w:p>
    <w:tbl>
      <w:tblPr>
        <w:tblW w:w="3969" w:type="dxa"/>
        <w:tblLook w:val="04A0" w:firstRow="1" w:lastRow="0" w:firstColumn="1" w:lastColumn="0" w:noHBand="0" w:noVBand="1"/>
      </w:tblPr>
      <w:tblGrid>
        <w:gridCol w:w="2060"/>
        <w:gridCol w:w="1909"/>
      </w:tblGrid>
      <w:tr w:rsidR="002165F0" w:rsidRPr="002165F0" w14:paraId="4CC8E42C" w14:textId="77777777" w:rsidTr="002F12A2">
        <w:trPr>
          <w:trHeight w:val="290"/>
        </w:trPr>
        <w:tc>
          <w:tcPr>
            <w:tcW w:w="2060" w:type="dxa"/>
            <w:tcBorders>
              <w:top w:val="nil"/>
              <w:left w:val="nil"/>
              <w:bottom w:val="nil"/>
              <w:right w:val="nil"/>
            </w:tcBorders>
            <w:shd w:val="clear" w:color="auto" w:fill="auto"/>
            <w:noWrap/>
            <w:vAlign w:val="center"/>
            <w:hideMark/>
          </w:tcPr>
          <w:p w14:paraId="28684C87"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Village Signs</w:t>
            </w:r>
          </w:p>
        </w:tc>
        <w:tc>
          <w:tcPr>
            <w:tcW w:w="1909" w:type="dxa"/>
            <w:tcBorders>
              <w:top w:val="nil"/>
              <w:left w:val="nil"/>
              <w:bottom w:val="nil"/>
              <w:right w:val="nil"/>
            </w:tcBorders>
            <w:shd w:val="clear" w:color="auto" w:fill="auto"/>
            <w:noWrap/>
            <w:vAlign w:val="center"/>
            <w:hideMark/>
          </w:tcPr>
          <w:p w14:paraId="444CAE56" w14:textId="6877BC3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w:t>
            </w:r>
            <w:r w:rsidR="005A4043">
              <w:rPr>
                <w:rFonts w:eastAsia="Times New Roman" w:cstheme="minorHAnsi"/>
                <w:color w:val="000000"/>
                <w:kern w:val="0"/>
                <w:lang w:val="en-GB" w:eastAsia="en-GB"/>
              </w:rPr>
              <w:t xml:space="preserve">       </w:t>
            </w:r>
            <w:r w:rsidRPr="002165F0">
              <w:rPr>
                <w:rFonts w:eastAsia="Times New Roman" w:cstheme="minorHAnsi"/>
                <w:color w:val="000000"/>
                <w:kern w:val="0"/>
                <w:lang w:val="en-GB" w:eastAsia="en-GB"/>
              </w:rPr>
              <w:t xml:space="preserve"> </w:t>
            </w:r>
            <w:r w:rsidR="00937717">
              <w:rPr>
                <w:rFonts w:eastAsia="Times New Roman" w:cstheme="minorHAnsi"/>
                <w:color w:val="000000"/>
                <w:kern w:val="0"/>
                <w:lang w:val="en-GB" w:eastAsia="en-GB"/>
              </w:rPr>
              <w:t>???</w:t>
            </w:r>
            <w:r w:rsidRPr="002165F0">
              <w:rPr>
                <w:rFonts w:eastAsia="Times New Roman" w:cstheme="minorHAnsi"/>
                <w:color w:val="000000"/>
                <w:kern w:val="0"/>
                <w:lang w:val="en-GB" w:eastAsia="en-GB"/>
              </w:rPr>
              <w:t xml:space="preserve"> </w:t>
            </w:r>
          </w:p>
        </w:tc>
      </w:tr>
      <w:tr w:rsidR="002165F0" w:rsidRPr="002165F0" w14:paraId="19FF0AAA" w14:textId="77777777" w:rsidTr="002F12A2">
        <w:trPr>
          <w:trHeight w:val="290"/>
        </w:trPr>
        <w:tc>
          <w:tcPr>
            <w:tcW w:w="2060" w:type="dxa"/>
            <w:tcBorders>
              <w:top w:val="nil"/>
              <w:left w:val="nil"/>
              <w:bottom w:val="nil"/>
              <w:right w:val="nil"/>
            </w:tcBorders>
            <w:shd w:val="clear" w:color="auto" w:fill="auto"/>
            <w:noWrap/>
            <w:vAlign w:val="center"/>
            <w:hideMark/>
          </w:tcPr>
          <w:p w14:paraId="51E63809"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Catering</w:t>
            </w:r>
          </w:p>
        </w:tc>
        <w:tc>
          <w:tcPr>
            <w:tcW w:w="1909" w:type="dxa"/>
            <w:tcBorders>
              <w:top w:val="nil"/>
              <w:left w:val="nil"/>
              <w:bottom w:val="nil"/>
              <w:right w:val="nil"/>
            </w:tcBorders>
            <w:shd w:val="clear" w:color="auto" w:fill="auto"/>
            <w:noWrap/>
            <w:vAlign w:val="center"/>
            <w:hideMark/>
          </w:tcPr>
          <w:p w14:paraId="08009920" w14:textId="594C5314"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w:t>
            </w:r>
            <w:r w:rsidR="004811BA">
              <w:rPr>
                <w:rFonts w:eastAsia="Times New Roman" w:cstheme="minorHAnsi"/>
                <w:color w:val="000000"/>
                <w:kern w:val="0"/>
                <w:lang w:val="en-GB" w:eastAsia="en-GB"/>
              </w:rPr>
              <w:t xml:space="preserve">   508.68</w:t>
            </w:r>
            <w:r w:rsidRPr="002165F0">
              <w:rPr>
                <w:rFonts w:eastAsia="Times New Roman" w:cstheme="minorHAnsi"/>
                <w:color w:val="000000"/>
                <w:kern w:val="0"/>
                <w:lang w:val="en-GB" w:eastAsia="en-GB"/>
              </w:rPr>
              <w:t xml:space="preserve"> </w:t>
            </w:r>
          </w:p>
        </w:tc>
      </w:tr>
      <w:tr w:rsidR="0047408F" w:rsidRPr="002165F0" w14:paraId="0F75A7D8" w14:textId="77777777" w:rsidTr="002F12A2">
        <w:trPr>
          <w:trHeight w:val="290"/>
        </w:trPr>
        <w:tc>
          <w:tcPr>
            <w:tcW w:w="2060" w:type="dxa"/>
            <w:tcBorders>
              <w:top w:val="nil"/>
              <w:left w:val="nil"/>
              <w:bottom w:val="nil"/>
              <w:right w:val="nil"/>
            </w:tcBorders>
            <w:shd w:val="clear" w:color="auto" w:fill="auto"/>
            <w:noWrap/>
            <w:vAlign w:val="center"/>
          </w:tcPr>
          <w:p w14:paraId="2AFAEBAE" w14:textId="5174E515" w:rsidR="0047408F" w:rsidRDefault="00C431AF" w:rsidP="00652629">
            <w:pPr>
              <w:spacing w:line="360" w:lineRule="auto"/>
              <w:ind w:firstLine="0"/>
              <w:rPr>
                <w:rFonts w:eastAsia="Times New Roman" w:cstheme="minorHAnsi"/>
                <w:color w:val="000000"/>
                <w:kern w:val="0"/>
                <w:lang w:val="en-GB" w:eastAsia="en-GB"/>
              </w:rPr>
            </w:pPr>
            <w:r>
              <w:rPr>
                <w:rFonts w:eastAsia="Times New Roman" w:cstheme="minorHAnsi"/>
                <w:color w:val="000000"/>
                <w:kern w:val="0"/>
                <w:lang w:val="en-GB" w:eastAsia="en-GB"/>
              </w:rPr>
              <w:t>Barbeque</w:t>
            </w:r>
          </w:p>
        </w:tc>
        <w:tc>
          <w:tcPr>
            <w:tcW w:w="1909" w:type="dxa"/>
            <w:tcBorders>
              <w:top w:val="nil"/>
              <w:left w:val="nil"/>
              <w:bottom w:val="nil"/>
              <w:right w:val="nil"/>
            </w:tcBorders>
            <w:shd w:val="clear" w:color="auto" w:fill="auto"/>
            <w:noWrap/>
            <w:vAlign w:val="center"/>
          </w:tcPr>
          <w:p w14:paraId="77303532" w14:textId="25DD27D6" w:rsidR="0047408F" w:rsidRPr="002165F0" w:rsidRDefault="00C431AF" w:rsidP="00C431AF">
            <w:pPr>
              <w:tabs>
                <w:tab w:val="left" w:pos="1658"/>
              </w:tabs>
              <w:spacing w:line="360" w:lineRule="auto"/>
              <w:ind w:firstLine="0"/>
              <w:rPr>
                <w:rFonts w:eastAsia="Times New Roman" w:cstheme="minorHAnsi"/>
                <w:color w:val="000000"/>
                <w:kern w:val="0"/>
                <w:lang w:val="en-GB" w:eastAsia="en-GB"/>
              </w:rPr>
            </w:pPr>
            <w:r>
              <w:rPr>
                <w:rFonts w:eastAsia="Times New Roman" w:cstheme="minorHAnsi"/>
                <w:color w:val="000000"/>
                <w:kern w:val="0"/>
                <w:lang w:val="en-GB" w:eastAsia="en-GB"/>
              </w:rPr>
              <w:t xml:space="preserve"> £            319.94</w:t>
            </w:r>
          </w:p>
        </w:tc>
      </w:tr>
      <w:tr w:rsidR="0047408F" w:rsidRPr="002165F0" w14:paraId="7F36CA25" w14:textId="77777777" w:rsidTr="002F12A2">
        <w:trPr>
          <w:trHeight w:val="290"/>
        </w:trPr>
        <w:tc>
          <w:tcPr>
            <w:tcW w:w="2060" w:type="dxa"/>
            <w:tcBorders>
              <w:top w:val="nil"/>
              <w:left w:val="nil"/>
              <w:bottom w:val="nil"/>
              <w:right w:val="nil"/>
            </w:tcBorders>
            <w:shd w:val="clear" w:color="auto" w:fill="auto"/>
            <w:noWrap/>
            <w:vAlign w:val="center"/>
          </w:tcPr>
          <w:p w14:paraId="30DCC804" w14:textId="23FB75D1" w:rsidR="0047408F" w:rsidRDefault="00E11906" w:rsidP="00652629">
            <w:pPr>
              <w:spacing w:line="360" w:lineRule="auto"/>
              <w:ind w:firstLine="0"/>
              <w:rPr>
                <w:rFonts w:eastAsia="Times New Roman" w:cstheme="minorHAnsi"/>
                <w:color w:val="000000"/>
                <w:kern w:val="0"/>
                <w:lang w:val="en-GB" w:eastAsia="en-GB"/>
              </w:rPr>
            </w:pPr>
            <w:r>
              <w:rPr>
                <w:rFonts w:eastAsia="Times New Roman" w:cstheme="minorHAnsi"/>
                <w:color w:val="000000"/>
                <w:kern w:val="0"/>
                <w:lang w:val="en-GB" w:eastAsia="en-GB"/>
              </w:rPr>
              <w:t>Gazebo</w:t>
            </w:r>
          </w:p>
        </w:tc>
        <w:tc>
          <w:tcPr>
            <w:tcW w:w="1909" w:type="dxa"/>
            <w:tcBorders>
              <w:top w:val="nil"/>
              <w:left w:val="nil"/>
              <w:bottom w:val="nil"/>
              <w:right w:val="nil"/>
            </w:tcBorders>
            <w:shd w:val="clear" w:color="auto" w:fill="auto"/>
            <w:noWrap/>
            <w:vAlign w:val="center"/>
          </w:tcPr>
          <w:p w14:paraId="20F201AB" w14:textId="01007694" w:rsidR="0047408F" w:rsidRPr="002165F0" w:rsidRDefault="00E11906" w:rsidP="00652629">
            <w:pPr>
              <w:spacing w:line="360" w:lineRule="auto"/>
              <w:ind w:firstLine="0"/>
              <w:rPr>
                <w:rFonts w:eastAsia="Times New Roman" w:cstheme="minorHAnsi"/>
                <w:color w:val="000000"/>
                <w:kern w:val="0"/>
                <w:lang w:val="en-GB" w:eastAsia="en-GB"/>
              </w:rPr>
            </w:pPr>
            <w:r>
              <w:rPr>
                <w:rFonts w:eastAsia="Times New Roman" w:cstheme="minorHAnsi"/>
                <w:color w:val="000000"/>
                <w:kern w:val="0"/>
                <w:lang w:val="en-GB" w:eastAsia="en-GB"/>
              </w:rPr>
              <w:t xml:space="preserve"> £            199.95</w:t>
            </w:r>
          </w:p>
        </w:tc>
      </w:tr>
      <w:tr w:rsidR="002165F0" w:rsidRPr="002165F0" w14:paraId="49BB768F" w14:textId="77777777" w:rsidTr="002F12A2">
        <w:trPr>
          <w:trHeight w:val="290"/>
        </w:trPr>
        <w:tc>
          <w:tcPr>
            <w:tcW w:w="2060" w:type="dxa"/>
            <w:tcBorders>
              <w:top w:val="nil"/>
              <w:left w:val="nil"/>
              <w:bottom w:val="nil"/>
              <w:right w:val="nil"/>
            </w:tcBorders>
            <w:shd w:val="clear" w:color="auto" w:fill="auto"/>
            <w:noWrap/>
            <w:vAlign w:val="center"/>
            <w:hideMark/>
          </w:tcPr>
          <w:p w14:paraId="6848CB69" w14:textId="0AA5551C" w:rsidR="002165F0" w:rsidRPr="002165F0" w:rsidRDefault="00844330" w:rsidP="00652629">
            <w:pPr>
              <w:spacing w:line="360" w:lineRule="auto"/>
              <w:ind w:firstLine="0"/>
              <w:rPr>
                <w:rFonts w:eastAsia="Times New Roman" w:cstheme="minorHAnsi"/>
                <w:color w:val="000000"/>
                <w:kern w:val="0"/>
                <w:lang w:val="en-GB" w:eastAsia="en-GB"/>
              </w:rPr>
            </w:pPr>
            <w:r>
              <w:rPr>
                <w:rFonts w:eastAsia="Times New Roman" w:cstheme="minorHAnsi"/>
                <w:color w:val="000000"/>
                <w:kern w:val="0"/>
                <w:lang w:val="en-GB" w:eastAsia="en-GB"/>
              </w:rPr>
              <w:t>Marketing</w:t>
            </w:r>
          </w:p>
        </w:tc>
        <w:tc>
          <w:tcPr>
            <w:tcW w:w="1909" w:type="dxa"/>
            <w:tcBorders>
              <w:top w:val="nil"/>
              <w:left w:val="nil"/>
              <w:bottom w:val="nil"/>
              <w:right w:val="nil"/>
            </w:tcBorders>
            <w:shd w:val="clear" w:color="auto" w:fill="auto"/>
            <w:noWrap/>
            <w:vAlign w:val="center"/>
            <w:hideMark/>
          </w:tcPr>
          <w:p w14:paraId="4BB06910" w14:textId="79723EAF"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1,</w:t>
            </w:r>
            <w:r w:rsidR="00184F64">
              <w:rPr>
                <w:rFonts w:eastAsia="Times New Roman" w:cstheme="minorHAnsi"/>
                <w:color w:val="000000"/>
                <w:kern w:val="0"/>
                <w:lang w:val="en-GB" w:eastAsia="en-GB"/>
              </w:rPr>
              <w:t>235.13</w:t>
            </w:r>
            <w:r w:rsidRPr="002165F0">
              <w:rPr>
                <w:rFonts w:eastAsia="Times New Roman" w:cstheme="minorHAnsi"/>
                <w:color w:val="000000"/>
                <w:kern w:val="0"/>
                <w:lang w:val="en-GB" w:eastAsia="en-GB"/>
              </w:rPr>
              <w:t xml:space="preserve"> </w:t>
            </w:r>
          </w:p>
        </w:tc>
      </w:tr>
      <w:tr w:rsidR="002165F0" w:rsidRPr="002165F0" w14:paraId="0B5C8B54" w14:textId="77777777" w:rsidTr="002F12A2">
        <w:trPr>
          <w:trHeight w:val="290"/>
        </w:trPr>
        <w:tc>
          <w:tcPr>
            <w:tcW w:w="2060" w:type="dxa"/>
            <w:tcBorders>
              <w:top w:val="nil"/>
              <w:left w:val="nil"/>
              <w:bottom w:val="nil"/>
              <w:right w:val="nil"/>
            </w:tcBorders>
            <w:shd w:val="clear" w:color="auto" w:fill="auto"/>
            <w:noWrap/>
            <w:vAlign w:val="center"/>
            <w:hideMark/>
          </w:tcPr>
          <w:p w14:paraId="37C02D6F"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Minibus Hire</w:t>
            </w:r>
          </w:p>
        </w:tc>
        <w:tc>
          <w:tcPr>
            <w:tcW w:w="1909" w:type="dxa"/>
            <w:tcBorders>
              <w:top w:val="nil"/>
              <w:left w:val="nil"/>
              <w:bottom w:val="nil"/>
              <w:right w:val="nil"/>
            </w:tcBorders>
            <w:shd w:val="clear" w:color="auto" w:fill="auto"/>
            <w:noWrap/>
            <w:vAlign w:val="center"/>
            <w:hideMark/>
          </w:tcPr>
          <w:p w14:paraId="629BBADD" w14:textId="4FDD7439"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w:t>
            </w:r>
            <w:r w:rsidR="00AE3ED5">
              <w:rPr>
                <w:rFonts w:eastAsia="Times New Roman" w:cstheme="minorHAnsi"/>
                <w:color w:val="000000"/>
                <w:kern w:val="0"/>
                <w:lang w:val="en-GB" w:eastAsia="en-GB"/>
              </w:rPr>
              <w:t>520.07</w:t>
            </w:r>
            <w:r w:rsidRPr="002165F0">
              <w:rPr>
                <w:rFonts w:eastAsia="Times New Roman" w:cstheme="minorHAnsi"/>
                <w:color w:val="000000"/>
                <w:kern w:val="0"/>
                <w:lang w:val="en-GB" w:eastAsia="en-GB"/>
              </w:rPr>
              <w:t xml:space="preserve"> </w:t>
            </w:r>
          </w:p>
        </w:tc>
      </w:tr>
      <w:tr w:rsidR="002165F0" w:rsidRPr="002165F0" w14:paraId="6809F18B" w14:textId="77777777" w:rsidTr="002F12A2">
        <w:trPr>
          <w:trHeight w:val="290"/>
        </w:trPr>
        <w:tc>
          <w:tcPr>
            <w:tcW w:w="2060" w:type="dxa"/>
            <w:tcBorders>
              <w:top w:val="nil"/>
              <w:left w:val="nil"/>
              <w:bottom w:val="nil"/>
              <w:right w:val="nil"/>
            </w:tcBorders>
            <w:shd w:val="clear" w:color="auto" w:fill="auto"/>
            <w:noWrap/>
            <w:vAlign w:val="center"/>
            <w:hideMark/>
          </w:tcPr>
          <w:p w14:paraId="7859BD39"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Co-ordinator</w:t>
            </w:r>
          </w:p>
        </w:tc>
        <w:tc>
          <w:tcPr>
            <w:tcW w:w="1909" w:type="dxa"/>
            <w:tcBorders>
              <w:top w:val="nil"/>
              <w:left w:val="nil"/>
              <w:bottom w:val="nil"/>
              <w:right w:val="nil"/>
            </w:tcBorders>
            <w:shd w:val="clear" w:color="auto" w:fill="auto"/>
            <w:noWrap/>
            <w:vAlign w:val="center"/>
            <w:hideMark/>
          </w:tcPr>
          <w:p w14:paraId="25BD3E40"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298.20 </w:t>
            </w:r>
          </w:p>
        </w:tc>
      </w:tr>
      <w:tr w:rsidR="002165F0" w:rsidRPr="002165F0" w14:paraId="6F4ED80B" w14:textId="77777777" w:rsidTr="002F12A2">
        <w:trPr>
          <w:trHeight w:val="290"/>
        </w:trPr>
        <w:tc>
          <w:tcPr>
            <w:tcW w:w="2060" w:type="dxa"/>
            <w:tcBorders>
              <w:top w:val="nil"/>
              <w:left w:val="nil"/>
              <w:bottom w:val="nil"/>
              <w:right w:val="nil"/>
            </w:tcBorders>
            <w:shd w:val="clear" w:color="auto" w:fill="auto"/>
            <w:noWrap/>
            <w:vAlign w:val="center"/>
            <w:hideMark/>
          </w:tcPr>
          <w:p w14:paraId="60844899"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Toilet Hire</w:t>
            </w:r>
          </w:p>
        </w:tc>
        <w:tc>
          <w:tcPr>
            <w:tcW w:w="1909" w:type="dxa"/>
            <w:tcBorders>
              <w:top w:val="nil"/>
              <w:left w:val="nil"/>
              <w:bottom w:val="nil"/>
              <w:right w:val="nil"/>
            </w:tcBorders>
            <w:shd w:val="clear" w:color="auto" w:fill="auto"/>
            <w:noWrap/>
            <w:vAlign w:val="center"/>
            <w:hideMark/>
          </w:tcPr>
          <w:p w14:paraId="4DE1ED06"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240.00 </w:t>
            </w:r>
          </w:p>
        </w:tc>
      </w:tr>
      <w:tr w:rsidR="002165F0" w:rsidRPr="002165F0" w14:paraId="0C852DF0" w14:textId="77777777" w:rsidTr="002F12A2">
        <w:trPr>
          <w:trHeight w:val="290"/>
        </w:trPr>
        <w:tc>
          <w:tcPr>
            <w:tcW w:w="2060" w:type="dxa"/>
            <w:tcBorders>
              <w:top w:val="nil"/>
              <w:left w:val="nil"/>
              <w:bottom w:val="nil"/>
              <w:right w:val="nil"/>
            </w:tcBorders>
            <w:shd w:val="clear" w:color="auto" w:fill="auto"/>
            <w:noWrap/>
            <w:vAlign w:val="center"/>
            <w:hideMark/>
          </w:tcPr>
          <w:p w14:paraId="3EC3082B"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Signage</w:t>
            </w:r>
          </w:p>
        </w:tc>
        <w:tc>
          <w:tcPr>
            <w:tcW w:w="1909" w:type="dxa"/>
            <w:tcBorders>
              <w:top w:val="nil"/>
              <w:left w:val="nil"/>
              <w:bottom w:val="nil"/>
              <w:right w:val="nil"/>
            </w:tcBorders>
            <w:shd w:val="clear" w:color="auto" w:fill="auto"/>
            <w:noWrap/>
            <w:vAlign w:val="center"/>
            <w:hideMark/>
          </w:tcPr>
          <w:p w14:paraId="5B1D424B"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238.00 </w:t>
            </w:r>
          </w:p>
        </w:tc>
      </w:tr>
      <w:tr w:rsidR="002165F0" w:rsidRPr="002165F0" w14:paraId="1D065F3F" w14:textId="77777777" w:rsidTr="002F12A2">
        <w:trPr>
          <w:trHeight w:val="290"/>
        </w:trPr>
        <w:tc>
          <w:tcPr>
            <w:tcW w:w="2060" w:type="dxa"/>
            <w:tcBorders>
              <w:top w:val="nil"/>
              <w:left w:val="nil"/>
              <w:bottom w:val="nil"/>
              <w:right w:val="nil"/>
            </w:tcBorders>
            <w:shd w:val="clear" w:color="auto" w:fill="auto"/>
            <w:noWrap/>
            <w:vAlign w:val="center"/>
            <w:hideMark/>
          </w:tcPr>
          <w:p w14:paraId="6C3FF8DF"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Website</w:t>
            </w:r>
          </w:p>
        </w:tc>
        <w:tc>
          <w:tcPr>
            <w:tcW w:w="1909" w:type="dxa"/>
            <w:tcBorders>
              <w:top w:val="nil"/>
              <w:left w:val="nil"/>
              <w:bottom w:val="nil"/>
              <w:right w:val="nil"/>
            </w:tcBorders>
            <w:shd w:val="clear" w:color="auto" w:fill="auto"/>
            <w:noWrap/>
            <w:vAlign w:val="center"/>
            <w:hideMark/>
          </w:tcPr>
          <w:p w14:paraId="6D3B750D"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200.00 </w:t>
            </w:r>
          </w:p>
        </w:tc>
      </w:tr>
      <w:tr w:rsidR="002165F0" w:rsidRPr="002165F0" w14:paraId="6BCD02BD" w14:textId="77777777" w:rsidTr="002F12A2">
        <w:trPr>
          <w:trHeight w:val="290"/>
        </w:trPr>
        <w:tc>
          <w:tcPr>
            <w:tcW w:w="2060" w:type="dxa"/>
            <w:tcBorders>
              <w:top w:val="nil"/>
              <w:left w:val="nil"/>
              <w:bottom w:val="nil"/>
              <w:right w:val="nil"/>
            </w:tcBorders>
            <w:shd w:val="clear" w:color="auto" w:fill="auto"/>
            <w:noWrap/>
            <w:vAlign w:val="center"/>
            <w:hideMark/>
          </w:tcPr>
          <w:p w14:paraId="75416C8B"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Health &amp; Safety</w:t>
            </w:r>
          </w:p>
        </w:tc>
        <w:tc>
          <w:tcPr>
            <w:tcW w:w="1909" w:type="dxa"/>
            <w:tcBorders>
              <w:top w:val="nil"/>
              <w:left w:val="nil"/>
              <w:bottom w:val="nil"/>
              <w:right w:val="nil"/>
            </w:tcBorders>
            <w:shd w:val="clear" w:color="auto" w:fill="auto"/>
            <w:noWrap/>
            <w:vAlign w:val="center"/>
            <w:hideMark/>
          </w:tcPr>
          <w:p w14:paraId="69EE089B" w14:textId="6F9D5AD1"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w:t>
            </w:r>
            <w:r w:rsidR="00D12152">
              <w:rPr>
                <w:rFonts w:eastAsia="Times New Roman" w:cstheme="minorHAnsi"/>
                <w:color w:val="000000"/>
                <w:kern w:val="0"/>
                <w:lang w:val="en-GB" w:eastAsia="en-GB"/>
              </w:rPr>
              <w:t>96.89</w:t>
            </w:r>
            <w:r w:rsidRPr="002165F0">
              <w:rPr>
                <w:rFonts w:eastAsia="Times New Roman" w:cstheme="minorHAnsi"/>
                <w:color w:val="000000"/>
                <w:kern w:val="0"/>
                <w:lang w:val="en-GB" w:eastAsia="en-GB"/>
              </w:rPr>
              <w:t xml:space="preserve"> </w:t>
            </w:r>
          </w:p>
        </w:tc>
      </w:tr>
      <w:tr w:rsidR="002165F0" w:rsidRPr="002165F0" w14:paraId="53BF29ED" w14:textId="77777777" w:rsidTr="002F12A2">
        <w:trPr>
          <w:trHeight w:val="290"/>
        </w:trPr>
        <w:tc>
          <w:tcPr>
            <w:tcW w:w="2060" w:type="dxa"/>
            <w:tcBorders>
              <w:top w:val="nil"/>
              <w:left w:val="nil"/>
              <w:bottom w:val="nil"/>
              <w:right w:val="nil"/>
            </w:tcBorders>
            <w:shd w:val="clear" w:color="auto" w:fill="auto"/>
            <w:noWrap/>
            <w:vAlign w:val="center"/>
            <w:hideMark/>
          </w:tcPr>
          <w:p w14:paraId="32EF0419"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Postage</w:t>
            </w:r>
          </w:p>
        </w:tc>
        <w:tc>
          <w:tcPr>
            <w:tcW w:w="1909" w:type="dxa"/>
            <w:tcBorders>
              <w:top w:val="nil"/>
              <w:left w:val="nil"/>
              <w:bottom w:val="nil"/>
              <w:right w:val="nil"/>
            </w:tcBorders>
            <w:shd w:val="clear" w:color="auto" w:fill="auto"/>
            <w:noWrap/>
            <w:vAlign w:val="center"/>
            <w:hideMark/>
          </w:tcPr>
          <w:p w14:paraId="167CFB3E" w14:textId="77777777" w:rsidR="002165F0" w:rsidRPr="002165F0" w:rsidRDefault="002165F0" w:rsidP="00652629">
            <w:pPr>
              <w:spacing w:line="360" w:lineRule="auto"/>
              <w:ind w:firstLine="0"/>
              <w:rPr>
                <w:rFonts w:eastAsia="Times New Roman" w:cstheme="minorHAnsi"/>
                <w:color w:val="000000"/>
                <w:kern w:val="0"/>
                <w:lang w:val="en-GB" w:eastAsia="en-GB"/>
              </w:rPr>
            </w:pPr>
            <w:r w:rsidRPr="002165F0">
              <w:rPr>
                <w:rFonts w:eastAsia="Times New Roman" w:cstheme="minorHAnsi"/>
                <w:color w:val="000000"/>
                <w:kern w:val="0"/>
                <w:lang w:val="en-GB" w:eastAsia="en-GB"/>
              </w:rPr>
              <w:t xml:space="preserve"> £                6.88 </w:t>
            </w:r>
          </w:p>
        </w:tc>
      </w:tr>
      <w:tr w:rsidR="002165F0" w:rsidRPr="002165F0" w14:paraId="63D84449" w14:textId="77777777" w:rsidTr="002F12A2">
        <w:trPr>
          <w:trHeight w:val="300"/>
        </w:trPr>
        <w:tc>
          <w:tcPr>
            <w:tcW w:w="2060" w:type="dxa"/>
            <w:tcBorders>
              <w:top w:val="nil"/>
              <w:left w:val="nil"/>
              <w:bottom w:val="nil"/>
              <w:right w:val="nil"/>
            </w:tcBorders>
            <w:shd w:val="clear" w:color="auto" w:fill="auto"/>
            <w:noWrap/>
            <w:vAlign w:val="center"/>
            <w:hideMark/>
          </w:tcPr>
          <w:p w14:paraId="67B84FF9" w14:textId="77777777" w:rsidR="002165F0" w:rsidRPr="002165F0" w:rsidRDefault="002165F0" w:rsidP="00652629">
            <w:pPr>
              <w:spacing w:line="360" w:lineRule="auto"/>
              <w:ind w:firstLine="0"/>
              <w:rPr>
                <w:rFonts w:eastAsia="Times New Roman" w:cstheme="minorHAnsi"/>
                <w:color w:val="000000"/>
                <w:kern w:val="0"/>
                <w:lang w:val="en-GB" w:eastAsia="en-GB"/>
              </w:rPr>
            </w:pPr>
          </w:p>
        </w:tc>
        <w:tc>
          <w:tcPr>
            <w:tcW w:w="1909" w:type="dxa"/>
            <w:tcBorders>
              <w:top w:val="single" w:sz="4" w:space="0" w:color="auto"/>
              <w:left w:val="nil"/>
              <w:bottom w:val="single" w:sz="8" w:space="0" w:color="auto"/>
              <w:right w:val="nil"/>
            </w:tcBorders>
            <w:shd w:val="clear" w:color="auto" w:fill="auto"/>
            <w:noWrap/>
            <w:vAlign w:val="center"/>
            <w:hideMark/>
          </w:tcPr>
          <w:p w14:paraId="24E0EC5C" w14:textId="30FB3F34" w:rsidR="002165F0" w:rsidRPr="002165F0" w:rsidRDefault="002165F0" w:rsidP="00652629">
            <w:pPr>
              <w:spacing w:line="360" w:lineRule="auto"/>
              <w:ind w:firstLine="0"/>
              <w:rPr>
                <w:rFonts w:eastAsia="Times New Roman" w:cstheme="minorHAnsi"/>
                <w:b/>
                <w:bCs/>
                <w:color w:val="000000"/>
                <w:kern w:val="0"/>
                <w:lang w:val="en-GB" w:eastAsia="en-GB"/>
              </w:rPr>
            </w:pPr>
            <w:r w:rsidRPr="002165F0">
              <w:rPr>
                <w:rFonts w:eastAsia="Times New Roman" w:cstheme="minorHAnsi"/>
                <w:b/>
                <w:bCs/>
                <w:color w:val="000000"/>
                <w:kern w:val="0"/>
                <w:lang w:val="en-GB" w:eastAsia="en-GB"/>
              </w:rPr>
              <w:t xml:space="preserve"> £        </w:t>
            </w:r>
            <w:r w:rsidR="005A4043">
              <w:rPr>
                <w:rFonts w:eastAsia="Times New Roman" w:cstheme="minorHAnsi"/>
                <w:b/>
                <w:bCs/>
                <w:color w:val="000000"/>
                <w:kern w:val="0"/>
                <w:lang w:val="en-GB" w:eastAsia="en-GB"/>
              </w:rPr>
              <w:t xml:space="preserve"> 3,86</w:t>
            </w:r>
            <w:r w:rsidRPr="002165F0">
              <w:rPr>
                <w:rFonts w:eastAsia="Times New Roman" w:cstheme="minorHAnsi"/>
                <w:b/>
                <w:bCs/>
                <w:color w:val="000000"/>
                <w:kern w:val="0"/>
                <w:lang w:val="en-GB" w:eastAsia="en-GB"/>
              </w:rPr>
              <w:t xml:space="preserve">3.74 </w:t>
            </w:r>
          </w:p>
        </w:tc>
      </w:tr>
    </w:tbl>
    <w:p w14:paraId="06907197" w14:textId="4C7407B2" w:rsidR="00E81978" w:rsidRDefault="00E81978" w:rsidP="00652629">
      <w:pPr>
        <w:spacing w:line="360" w:lineRule="auto"/>
        <w:ind w:firstLine="0"/>
        <w:rPr>
          <w:b/>
          <w:bCs/>
        </w:rPr>
      </w:pPr>
    </w:p>
    <w:p w14:paraId="4EB7A0FF" w14:textId="7D218300" w:rsidR="00B16C9E" w:rsidRDefault="00B16C9E" w:rsidP="00652629">
      <w:pPr>
        <w:ind w:firstLine="0"/>
        <w:rPr>
          <w:b/>
          <w:bCs/>
        </w:rPr>
      </w:pPr>
      <w:r>
        <w:rPr>
          <w:b/>
          <w:bCs/>
        </w:rPr>
        <w:t>Summary</w:t>
      </w:r>
    </w:p>
    <w:p w14:paraId="35A5D164" w14:textId="77777777" w:rsidR="00B733F1" w:rsidRDefault="001027B1" w:rsidP="00652629">
      <w:pPr>
        <w:spacing w:line="360" w:lineRule="auto"/>
        <w:ind w:firstLine="0"/>
      </w:pPr>
      <w:r>
        <w:t>Th</w:t>
      </w:r>
      <w:r w:rsidR="000C7D2A">
        <w:t xml:space="preserve">e GCC </w:t>
      </w:r>
      <w:r w:rsidR="00AF0C43">
        <w:t xml:space="preserve">Market Towns </w:t>
      </w:r>
      <w:r w:rsidR="000C7D2A">
        <w:t xml:space="preserve">Grant </w:t>
      </w:r>
      <w:r w:rsidR="003B5011">
        <w:t>was used</w:t>
      </w:r>
      <w:r w:rsidR="00D73B48">
        <w:t xml:space="preserve"> effectively and strategically</w:t>
      </w:r>
      <w:r w:rsidR="00792869">
        <w:t xml:space="preserve"> for the re-launch of the </w:t>
      </w:r>
      <w:proofErr w:type="spellStart"/>
      <w:r w:rsidR="00B733F1">
        <w:t>Kempley</w:t>
      </w:r>
      <w:proofErr w:type="spellEnd"/>
      <w:r w:rsidR="00B733F1">
        <w:t xml:space="preserve"> Daffodil Weekend. </w:t>
      </w:r>
    </w:p>
    <w:p w14:paraId="47798521" w14:textId="52396436" w:rsidR="00A40713" w:rsidRDefault="00B733F1" w:rsidP="00652629">
      <w:pPr>
        <w:spacing w:line="360" w:lineRule="auto"/>
        <w:ind w:firstLine="0"/>
      </w:pPr>
      <w:r>
        <w:t>The event was well publicized</w:t>
      </w:r>
      <w:r w:rsidR="00201043">
        <w:t>, c</w:t>
      </w:r>
      <w:r w:rsidR="001B173C">
        <w:t>apital items were acquired</w:t>
      </w:r>
      <w:r w:rsidR="00A40713">
        <w:t xml:space="preserve"> </w:t>
      </w:r>
      <w:r w:rsidR="001B173C">
        <w:t xml:space="preserve">that will be used </w:t>
      </w:r>
      <w:r w:rsidR="00201043">
        <w:t xml:space="preserve">for </w:t>
      </w:r>
      <w:r w:rsidR="00562AC3">
        <w:t>the event for years to come</w:t>
      </w:r>
      <w:r w:rsidR="0029711C">
        <w:t xml:space="preserve"> and attendance was as high as could be wished for. </w:t>
      </w:r>
    </w:p>
    <w:p w14:paraId="6A8C9D4F" w14:textId="682A93BA" w:rsidR="001027B1" w:rsidRPr="001027B1" w:rsidRDefault="00B0129D" w:rsidP="00652629">
      <w:pPr>
        <w:spacing w:line="360" w:lineRule="auto"/>
        <w:ind w:firstLine="0"/>
      </w:pPr>
      <w:r>
        <w:t xml:space="preserve">In short, it was a complete success thanks to the GCC Market Towns Fund and </w:t>
      </w:r>
      <w:r w:rsidR="00035EC8">
        <w:t xml:space="preserve">the selfless generosity of our local volunteers. </w:t>
      </w:r>
    </w:p>
    <w:sectPr w:rsidR="001027B1" w:rsidRPr="001027B1" w:rsidSect="008D6A2D">
      <w:headerReference w:type="default" r:id="rId9"/>
      <w:headerReference w:type="first" r:id="rId10"/>
      <w:footnotePr>
        <w:pos w:val="beneathText"/>
      </w:footnotePr>
      <w:pgSz w:w="12240" w:h="15840"/>
      <w:pgMar w:top="1134" w:right="1183" w:bottom="1440" w:left="1134"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CAA6D" w14:textId="77777777" w:rsidR="0020357D" w:rsidRDefault="0020357D">
      <w:pPr>
        <w:spacing w:line="240" w:lineRule="auto"/>
      </w:pPr>
      <w:r>
        <w:separator/>
      </w:r>
    </w:p>
    <w:p w14:paraId="5F42F3D5" w14:textId="77777777" w:rsidR="0020357D" w:rsidRDefault="0020357D"/>
  </w:endnote>
  <w:endnote w:type="continuationSeparator" w:id="0">
    <w:p w14:paraId="29010A50" w14:textId="77777777" w:rsidR="0020357D" w:rsidRDefault="0020357D">
      <w:pPr>
        <w:spacing w:line="240" w:lineRule="auto"/>
      </w:pPr>
      <w:r>
        <w:continuationSeparator/>
      </w:r>
    </w:p>
    <w:p w14:paraId="27F57947" w14:textId="77777777" w:rsidR="0020357D" w:rsidRDefault="00203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9D1E" w14:textId="77777777" w:rsidR="0020357D" w:rsidRDefault="0020357D">
      <w:pPr>
        <w:spacing w:line="240" w:lineRule="auto"/>
      </w:pPr>
      <w:r>
        <w:separator/>
      </w:r>
    </w:p>
    <w:p w14:paraId="2BAF54B4" w14:textId="77777777" w:rsidR="0020357D" w:rsidRDefault="0020357D"/>
  </w:footnote>
  <w:footnote w:type="continuationSeparator" w:id="0">
    <w:p w14:paraId="46D7DA4B" w14:textId="77777777" w:rsidR="0020357D" w:rsidRDefault="0020357D">
      <w:pPr>
        <w:spacing w:line="240" w:lineRule="auto"/>
      </w:pPr>
      <w:r>
        <w:continuationSeparator/>
      </w:r>
    </w:p>
    <w:p w14:paraId="61DE4903" w14:textId="77777777" w:rsidR="0020357D" w:rsidRDefault="00203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231B" w14:textId="75542A12" w:rsidR="00E81978" w:rsidRDefault="0020357D">
    <w:pPr>
      <w:pStyle w:val="Header"/>
    </w:pPr>
    <w:sdt>
      <w:sdtPr>
        <w:rPr>
          <w:rStyle w:val="Strong"/>
        </w:rPr>
        <w:alias w:val="Running head"/>
        <w:tag w:val=""/>
        <w:id w:val="12739865"/>
        <w:placeholder>
          <w:docPart w:val="EC82F2973B8C4D4B962F9CE5E6ACF69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52629">
          <w:rPr>
            <w:rStyle w:val="Strong"/>
          </w:rPr>
          <w:t xml:space="preserve">kdw </w:t>
        </w:r>
        <w:r w:rsidR="004947A9">
          <w:rPr>
            <w:rStyle w:val="Strong"/>
          </w:rPr>
          <w:t>grant funding report</w:t>
        </w:r>
        <w:r w:rsidR="00652629">
          <w:rPr>
            <w:rStyle w:val="Strong"/>
          </w:rPr>
          <w:t xml:space="preserve"> – may 2022</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264A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4729" w14:textId="57C3C59B"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264A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97"/>
    <w:rsid w:val="00035EC8"/>
    <w:rsid w:val="000C7D2A"/>
    <w:rsid w:val="000D3F41"/>
    <w:rsid w:val="001027B1"/>
    <w:rsid w:val="00184F64"/>
    <w:rsid w:val="001B173C"/>
    <w:rsid w:val="001D5204"/>
    <w:rsid w:val="00201043"/>
    <w:rsid w:val="0020357D"/>
    <w:rsid w:val="002165F0"/>
    <w:rsid w:val="0029711C"/>
    <w:rsid w:val="002F12A2"/>
    <w:rsid w:val="00355DCA"/>
    <w:rsid w:val="003B5011"/>
    <w:rsid w:val="004264A7"/>
    <w:rsid w:val="0047408F"/>
    <w:rsid w:val="004811BA"/>
    <w:rsid w:val="00482C82"/>
    <w:rsid w:val="004947A9"/>
    <w:rsid w:val="0050478A"/>
    <w:rsid w:val="00551A02"/>
    <w:rsid w:val="005534FA"/>
    <w:rsid w:val="00562AC3"/>
    <w:rsid w:val="005A4043"/>
    <w:rsid w:val="005D3A03"/>
    <w:rsid w:val="00613F08"/>
    <w:rsid w:val="00652629"/>
    <w:rsid w:val="00720C97"/>
    <w:rsid w:val="00792869"/>
    <w:rsid w:val="007B3B6B"/>
    <w:rsid w:val="008002C0"/>
    <w:rsid w:val="00806382"/>
    <w:rsid w:val="00844330"/>
    <w:rsid w:val="008C5323"/>
    <w:rsid w:val="008D6A2D"/>
    <w:rsid w:val="009221E9"/>
    <w:rsid w:val="00937717"/>
    <w:rsid w:val="009A6A3B"/>
    <w:rsid w:val="00A40713"/>
    <w:rsid w:val="00AE3ED5"/>
    <w:rsid w:val="00AF0C43"/>
    <w:rsid w:val="00B0129D"/>
    <w:rsid w:val="00B16C9E"/>
    <w:rsid w:val="00B733F1"/>
    <w:rsid w:val="00B823AA"/>
    <w:rsid w:val="00BA45DB"/>
    <w:rsid w:val="00BF2ECE"/>
    <w:rsid w:val="00BF4184"/>
    <w:rsid w:val="00C0601E"/>
    <w:rsid w:val="00C31D30"/>
    <w:rsid w:val="00C31E79"/>
    <w:rsid w:val="00C431AF"/>
    <w:rsid w:val="00C73EEF"/>
    <w:rsid w:val="00CD6E39"/>
    <w:rsid w:val="00CF6E91"/>
    <w:rsid w:val="00D12152"/>
    <w:rsid w:val="00D23BDD"/>
    <w:rsid w:val="00D52240"/>
    <w:rsid w:val="00D73B48"/>
    <w:rsid w:val="00D85B68"/>
    <w:rsid w:val="00DB6EFA"/>
    <w:rsid w:val="00E11906"/>
    <w:rsid w:val="00E6004D"/>
    <w:rsid w:val="00E81978"/>
    <w:rsid w:val="00ED4BCC"/>
    <w:rsid w:val="00F07EED"/>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DCD4"/>
  <w15:chartTrackingRefBased/>
  <w15:docId w15:val="{5F5D3F9A-0CFF-458F-ACFB-DFF1542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9726025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813089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921074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306CFCD2BD4D20BE48A9B7113C68C4"/>
        <w:category>
          <w:name w:val="General"/>
          <w:gallery w:val="placeholder"/>
        </w:category>
        <w:types>
          <w:type w:val="bbPlcHdr"/>
        </w:types>
        <w:behaviors>
          <w:behavior w:val="content"/>
        </w:behaviors>
        <w:guid w:val="{73AC13FE-44F1-4A76-AEEC-C5FCB864C755}"/>
      </w:docPartPr>
      <w:docPartBody>
        <w:p w:rsidR="00F51EFC" w:rsidRDefault="008C13DE">
          <w:pPr>
            <w:pStyle w:val="CD306CFCD2BD4D20BE48A9B7113C68C4"/>
          </w:pPr>
          <w:r>
            <w:t>[Title Here, up to 12 Words, on One to Two Lines]</w:t>
          </w:r>
        </w:p>
      </w:docPartBody>
    </w:docPart>
    <w:docPart>
      <w:docPartPr>
        <w:name w:val="EC82F2973B8C4D4B962F9CE5E6ACF699"/>
        <w:category>
          <w:name w:val="General"/>
          <w:gallery w:val="placeholder"/>
        </w:category>
        <w:types>
          <w:type w:val="bbPlcHdr"/>
        </w:types>
        <w:behaviors>
          <w:behavior w:val="content"/>
        </w:behaviors>
        <w:guid w:val="{270F8C57-0852-4A48-8D39-4125F4BB630D}"/>
      </w:docPartPr>
      <w:docPartBody>
        <w:p w:rsidR="00F51EFC" w:rsidRDefault="008C13DE">
          <w:pPr>
            <w:pStyle w:val="EC82F2973B8C4D4B962F9CE5E6ACF699"/>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C"/>
    <w:rsid w:val="003A4E8B"/>
    <w:rsid w:val="008C13DE"/>
    <w:rsid w:val="00DA3510"/>
    <w:rsid w:val="00F5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Pr>
      <w:i/>
      <w:iCs/>
    </w:rPr>
  </w:style>
  <w:style w:type="paragraph" w:customStyle="1" w:styleId="CD306CFCD2BD4D20BE48A9B7113C68C4">
    <w:name w:val="CD306CFCD2BD4D20BE48A9B7113C68C4"/>
  </w:style>
  <w:style w:type="paragraph" w:customStyle="1" w:styleId="EC82F2973B8C4D4B962F9CE5E6ACF699">
    <w:name w:val="EC82F2973B8C4D4B962F9CE5E6ACF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kdw grant funding report – may 2022</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4A621A-9913-4652-B219-7E11BAEF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KEMPLEY DAFFODIL WEEKEND 
GCC BUILD BACK BETTER MARKET TOWNS FUND EXPENDITURE REPORT 
by Arin Spencer</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KEMPLEY DAFFODIL WEEKEND 
GCC BUILD BACK BETTER MARKET TOWNS FUND EXPENDITURE REPORT 
by Arin Spencer</dc:title>
  <dc:subject/>
  <dc:creator>david</dc:creator>
  <cp:keywords/>
  <dc:description/>
  <cp:lastModifiedBy>Tim Dain</cp:lastModifiedBy>
  <cp:revision>2</cp:revision>
  <dcterms:created xsi:type="dcterms:W3CDTF">2022-06-05T09:13:00Z</dcterms:created>
  <dcterms:modified xsi:type="dcterms:W3CDTF">2022-06-05T09:13:00Z</dcterms:modified>
</cp:coreProperties>
</file>